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2AF3E">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p>
    <w:p w14:paraId="50F54847">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p>
    <w:p w14:paraId="59A17E29">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sz w:val="52"/>
          <w:szCs w:val="52"/>
          <w:lang w:val="en-US" w:eastAsia="zh-CN"/>
        </w:rPr>
        <w:t>开州区温泉镇东河温泉供水站水源地</w:t>
      </w:r>
    </w:p>
    <w:p w14:paraId="1606AB56">
      <w:pPr>
        <w:keepNext/>
        <w:keepLines/>
        <w:pageBreakBefore w:val="0"/>
        <w:widowControl w:val="0"/>
        <w:kinsoku/>
        <w:wordWrap/>
        <w:overflowPunct/>
        <w:topLinePunct w:val="0"/>
        <w:autoSpaceDE/>
        <w:autoSpaceDN/>
        <w:bidi w:val="0"/>
        <w:adjustRightInd/>
        <w:snapToGrid/>
        <w:spacing w:before="0" w:after="0" w:line="360" w:lineRule="auto"/>
        <w:ind w:left="0" w:leftChars="0"/>
        <w:jc w:val="center"/>
        <w:textAlignment w:val="auto"/>
        <w:outlineLvl w:val="9"/>
        <w:rPr>
          <w:rFonts w:hint="eastAsia" w:asciiTheme="minorEastAsia" w:hAnsiTheme="minorEastAsia" w:eastAsiaTheme="minorEastAsia" w:cstheme="minorEastAsia"/>
          <w:b/>
          <w:bCs/>
          <w:sz w:val="52"/>
          <w:szCs w:val="52"/>
        </w:rPr>
      </w:pPr>
      <w:r>
        <w:rPr>
          <w:rFonts w:hint="eastAsia" w:asciiTheme="minorEastAsia" w:hAnsiTheme="minorEastAsia" w:eastAsiaTheme="minorEastAsia" w:cstheme="minorEastAsia"/>
          <w:b/>
          <w:bCs/>
          <w:sz w:val="52"/>
          <w:szCs w:val="52"/>
        </w:rPr>
        <w:t>突发环境事件应急预案</w:t>
      </w:r>
    </w:p>
    <w:p w14:paraId="231CDBD2">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244AB6C8">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671CE366">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38ADE974">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6B3C09F">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2B8A2367">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 xml:space="preserve">                预案编号：</w:t>
      </w:r>
      <w:r>
        <w:rPr>
          <w:rFonts w:hint="eastAsia" w:asciiTheme="minorEastAsia" w:hAnsiTheme="minorEastAsia" w:eastAsiaTheme="minorEastAsia" w:cstheme="minorEastAsia"/>
          <w:sz w:val="28"/>
          <w:szCs w:val="28"/>
          <w:lang w:val="en-US" w:eastAsia="zh-CN"/>
        </w:rPr>
        <w:t xml:space="preserve">WQGSZYYSYD 2025-1 </w:t>
      </w:r>
    </w:p>
    <w:p w14:paraId="1A66CD0A">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版 本 号：</w:t>
      </w:r>
      <w:r>
        <w:rPr>
          <w:rFonts w:hint="eastAsia" w:asciiTheme="minorEastAsia" w:hAnsiTheme="minorEastAsia" w:eastAsiaTheme="minorEastAsia" w:cstheme="minorEastAsia"/>
          <w:sz w:val="28"/>
          <w:szCs w:val="28"/>
          <w:lang w:val="en-US" w:eastAsia="zh-CN"/>
        </w:rPr>
        <w:t>2025-1</w:t>
      </w:r>
      <w:r>
        <w:rPr>
          <w:rFonts w:hint="eastAsia" w:asciiTheme="minorEastAsia" w:hAnsiTheme="minorEastAsia" w:eastAsiaTheme="minorEastAsia" w:cstheme="minorEastAsia"/>
          <w:sz w:val="28"/>
          <w:szCs w:val="28"/>
        </w:rPr>
        <w:t xml:space="preserve">  </w:t>
      </w:r>
    </w:p>
    <w:p w14:paraId="57DC8102">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 颁布日期：</w:t>
      </w:r>
      <w:r>
        <w:rPr>
          <w:rFonts w:hint="eastAsia" w:asciiTheme="minorEastAsia" w:hAnsiTheme="minorEastAsia" w:eastAsiaTheme="minorEastAsia" w:cstheme="minorEastAsia"/>
          <w:sz w:val="28"/>
          <w:szCs w:val="28"/>
          <w:lang w:val="en-US" w:eastAsia="zh-CN"/>
        </w:rPr>
        <w:t xml:space="preserve">2025年10月  </w:t>
      </w:r>
      <w:r>
        <w:rPr>
          <w:rFonts w:hint="eastAsia" w:asciiTheme="minorEastAsia" w:hAnsiTheme="minorEastAsia" w:eastAsiaTheme="minorEastAsia" w:cstheme="minorEastAsia"/>
          <w:sz w:val="28"/>
          <w:szCs w:val="28"/>
        </w:rPr>
        <w:t xml:space="preserve">  </w:t>
      </w:r>
    </w:p>
    <w:p w14:paraId="320A05B7">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F353913">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0181C76F">
      <w:pPr>
        <w:pStyle w:val="2"/>
        <w:pageBreakBefore w:val="0"/>
        <w:widowControl w:val="0"/>
        <w:kinsoku/>
        <w:wordWrap/>
        <w:overflowPunct/>
        <w:topLinePunct w:val="0"/>
        <w:autoSpaceDE/>
        <w:autoSpaceDN/>
        <w:bidi w:val="0"/>
        <w:adjustRightInd/>
        <w:snapToGrid/>
        <w:spacing w:line="360" w:lineRule="auto"/>
        <w:ind w:left="0" w:leftChars="0"/>
        <w:textAlignment w:val="auto"/>
        <w:outlineLvl w:val="9"/>
        <w:rPr>
          <w:rFonts w:hint="eastAsia" w:asciiTheme="minorEastAsia" w:hAnsiTheme="minorEastAsia" w:eastAsiaTheme="minorEastAsia" w:cstheme="minorEastAsia"/>
          <w:sz w:val="28"/>
          <w:szCs w:val="28"/>
        </w:rPr>
      </w:pPr>
    </w:p>
    <w:p w14:paraId="4E805E2F">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eastAsia="zh-CN"/>
        </w:rPr>
        <w:t>重庆市开州区</w:t>
      </w:r>
      <w:r>
        <w:rPr>
          <w:rFonts w:hint="eastAsia" w:asciiTheme="minorEastAsia" w:hAnsiTheme="minorEastAsia" w:eastAsiaTheme="minorEastAsia" w:cstheme="minorEastAsia"/>
          <w:b/>
          <w:bCs/>
          <w:sz w:val="32"/>
          <w:szCs w:val="32"/>
          <w:lang w:val="en-US" w:eastAsia="zh-CN"/>
        </w:rPr>
        <w:t>温泉镇人民政府</w:t>
      </w:r>
    </w:p>
    <w:p w14:paraId="7120B30E">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eastAsia="zh-CN"/>
        </w:rPr>
        <w:t>2025</w:t>
      </w:r>
      <w:r>
        <w:rPr>
          <w:rFonts w:hint="eastAsia" w:asciiTheme="minorEastAsia" w:hAnsiTheme="minorEastAsia" w:eastAsiaTheme="minorEastAsia" w:cstheme="minorEastAsia"/>
          <w:b/>
          <w:bCs/>
          <w:sz w:val="32"/>
          <w:szCs w:val="32"/>
        </w:rPr>
        <w:t>年</w:t>
      </w:r>
      <w:r>
        <w:rPr>
          <w:rFonts w:hint="eastAsia" w:asciiTheme="minorEastAsia" w:hAnsiTheme="minorEastAsia" w:eastAsiaTheme="minorEastAsia" w:cstheme="minorEastAsia"/>
          <w:b/>
          <w:bCs/>
          <w:sz w:val="32"/>
          <w:szCs w:val="32"/>
          <w:lang w:val="en-US" w:eastAsia="zh-CN"/>
        </w:rPr>
        <w:t>10</w:t>
      </w:r>
      <w:r>
        <w:rPr>
          <w:rFonts w:hint="eastAsia" w:asciiTheme="minorEastAsia" w:hAnsiTheme="minorEastAsia" w:eastAsiaTheme="minorEastAsia" w:cstheme="minorEastAsia"/>
          <w:b/>
          <w:bCs/>
          <w:sz w:val="32"/>
          <w:szCs w:val="32"/>
        </w:rPr>
        <w:t>月</w:t>
      </w:r>
    </w:p>
    <w:p w14:paraId="6D0651AF">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br w:type="page"/>
      </w:r>
    </w:p>
    <w:p w14:paraId="7DD5BFA7">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br w:type="page"/>
      </w:r>
    </w:p>
    <w:sdt>
      <w:sdtPr>
        <w:rPr>
          <w:rFonts w:ascii="宋体" w:hAnsi="宋体" w:eastAsia="宋体" w:cs="Times New Roman"/>
          <w:kern w:val="2"/>
          <w:sz w:val="21"/>
          <w:szCs w:val="21"/>
          <w:lang w:val="en-US" w:eastAsia="zh-CN" w:bidi="ar-SA"/>
        </w:rPr>
        <w:id w:val="147471964"/>
        <w15:color w:val="DBDBDB"/>
        <w:docPartObj>
          <w:docPartGallery w:val="Table of Contents"/>
          <w:docPartUnique/>
        </w:docPartObj>
      </w:sdtPr>
      <w:sdtEndPr>
        <w:rPr>
          <w:rFonts w:hint="eastAsia" w:asciiTheme="minorEastAsia" w:hAnsiTheme="minorEastAsia" w:eastAsiaTheme="minorEastAsia" w:cstheme="minorEastAsia"/>
          <w:b/>
          <w:bCs/>
          <w:kern w:val="2"/>
          <w:sz w:val="32"/>
          <w:szCs w:val="32"/>
          <w:lang w:val="zh-CN" w:eastAsia="zh-CN" w:bidi="zh-CN"/>
        </w:rPr>
      </w:sdtEndPr>
      <w:sdtContent>
        <w:p w14:paraId="466BD759">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6609D80">
          <w:pPr>
            <w:pStyle w:val="10"/>
            <w:tabs>
              <w:tab w:val="right" w:leader="dot" w:pos="9026"/>
            </w:tabs>
          </w:pPr>
          <w:r>
            <w:rPr>
              <w:rFonts w:hint="eastAsia" w:asciiTheme="minorEastAsia" w:hAnsiTheme="minorEastAsia" w:eastAsiaTheme="minorEastAsia" w:cstheme="minorEastAsia"/>
              <w:b/>
              <w:bCs/>
              <w:sz w:val="32"/>
              <w:szCs w:val="32"/>
            </w:rPr>
            <w:fldChar w:fldCharType="begin"/>
          </w:r>
          <w:r>
            <w:rPr>
              <w:rFonts w:hint="eastAsia" w:asciiTheme="minorEastAsia" w:hAnsiTheme="minorEastAsia" w:eastAsiaTheme="minorEastAsia" w:cstheme="minorEastAsia"/>
              <w:b/>
              <w:bCs/>
              <w:sz w:val="32"/>
              <w:szCs w:val="32"/>
            </w:rPr>
            <w:instrText xml:space="preserve">TOC \o "1-2" \h \u </w:instrText>
          </w:r>
          <w:r>
            <w:rPr>
              <w:rFonts w:hint="eastAsia" w:asciiTheme="minorEastAsia" w:hAnsiTheme="minorEastAsia" w:eastAsiaTheme="minorEastAsia" w:cstheme="minorEastAsia"/>
              <w:b/>
              <w:bCs/>
              <w:sz w:val="32"/>
              <w:szCs w:val="32"/>
            </w:rPr>
            <w:fldChar w:fldCharType="separate"/>
          </w: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_Toc12833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1总则</w:t>
          </w:r>
          <w:r>
            <w:tab/>
          </w:r>
          <w:r>
            <w:fldChar w:fldCharType="begin"/>
          </w:r>
          <w:r>
            <w:instrText xml:space="preserve"> PAGEREF _Toc12833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474E9928">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_Toc6900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1.1</w:t>
          </w:r>
          <w:r>
            <w:rPr>
              <w:rFonts w:hint="eastAsia" w:ascii="宋体" w:hAnsi="宋体" w:cs="宋体"/>
              <w:bCs/>
              <w:szCs w:val="28"/>
              <w:lang w:val="en-US" w:eastAsia="zh-CN"/>
            </w:rPr>
            <w:t xml:space="preserve"> </w:t>
          </w:r>
          <w:r>
            <w:rPr>
              <w:rFonts w:hint="eastAsia" w:ascii="宋体" w:hAnsi="宋体" w:eastAsia="宋体" w:cs="宋体"/>
              <w:bCs/>
              <w:szCs w:val="28"/>
            </w:rPr>
            <w:t>编制目的</w:t>
          </w:r>
          <w:r>
            <w:tab/>
          </w:r>
          <w:r>
            <w:fldChar w:fldCharType="begin"/>
          </w:r>
          <w:r>
            <w:instrText xml:space="preserve"> PAGEREF _Toc6900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3B794270">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_Toc20628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1.2</w:t>
          </w:r>
          <w:r>
            <w:rPr>
              <w:rFonts w:hint="eastAsia" w:ascii="宋体" w:hAnsi="宋体" w:eastAsia="宋体" w:cs="宋体"/>
              <w:bCs/>
              <w:szCs w:val="28"/>
              <w:lang w:val="en-US" w:eastAsia="zh-CN"/>
            </w:rPr>
            <w:t xml:space="preserve"> </w:t>
          </w:r>
          <w:r>
            <w:rPr>
              <w:rFonts w:hint="eastAsia" w:ascii="宋体" w:hAnsi="宋体" w:eastAsia="宋体" w:cs="宋体"/>
              <w:bCs/>
              <w:szCs w:val="28"/>
            </w:rPr>
            <w:t>适用范围</w:t>
          </w:r>
          <w:r>
            <w:tab/>
          </w:r>
          <w:r>
            <w:fldChar w:fldCharType="begin"/>
          </w:r>
          <w:r>
            <w:instrText xml:space="preserve"> PAGEREF _Toc20628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34A4096C">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_Toc12248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1.3</w:t>
          </w:r>
          <w:r>
            <w:rPr>
              <w:rFonts w:hint="eastAsia" w:ascii="宋体" w:hAnsi="宋体" w:eastAsia="宋体" w:cs="宋体"/>
              <w:bCs/>
              <w:szCs w:val="28"/>
              <w:lang w:val="en-US" w:eastAsia="zh-CN"/>
            </w:rPr>
            <w:t xml:space="preserve"> </w:t>
          </w:r>
          <w:r>
            <w:rPr>
              <w:rFonts w:hint="eastAsia" w:ascii="宋体" w:hAnsi="宋体" w:eastAsia="宋体" w:cs="宋体"/>
              <w:bCs/>
              <w:szCs w:val="28"/>
            </w:rPr>
            <w:t>编制依据</w:t>
          </w:r>
          <w:r>
            <w:tab/>
          </w:r>
          <w:r>
            <w:fldChar w:fldCharType="begin"/>
          </w:r>
          <w:r>
            <w:instrText xml:space="preserve"> PAGEREF _Toc12248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0F8328A7">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_Toc24657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rPr>
            <w:t>1.</w:t>
          </w:r>
          <w:r>
            <w:rPr>
              <w:rFonts w:hint="eastAsia" w:ascii="宋体" w:hAnsi="宋体" w:eastAsia="宋体" w:cs="宋体"/>
              <w:bCs/>
              <w:szCs w:val="28"/>
              <w:lang w:val="en-US" w:eastAsia="zh-CN"/>
            </w:rPr>
            <w:t xml:space="preserve">4 </w:t>
          </w:r>
          <w:r>
            <w:rPr>
              <w:rFonts w:hint="eastAsia" w:ascii="宋体" w:hAnsi="宋体" w:eastAsia="宋体" w:cs="宋体"/>
              <w:bCs/>
              <w:szCs w:val="28"/>
            </w:rPr>
            <w:t>工作原则</w:t>
          </w:r>
          <w:r>
            <w:tab/>
          </w:r>
          <w:r>
            <w:fldChar w:fldCharType="begin"/>
          </w:r>
          <w:r>
            <w:instrText xml:space="preserve"> PAGEREF _Toc24657 \h </w:instrText>
          </w:r>
          <w:r>
            <w:fldChar w:fldCharType="separate"/>
          </w:r>
          <w:r>
            <w:t>3</w:t>
          </w:r>
          <w:r>
            <w:fldChar w:fldCharType="end"/>
          </w:r>
          <w:r>
            <w:rPr>
              <w:rFonts w:hint="eastAsia" w:asciiTheme="minorEastAsia" w:hAnsiTheme="minorEastAsia" w:eastAsiaTheme="minorEastAsia" w:cstheme="minorEastAsia"/>
              <w:bCs/>
              <w:szCs w:val="32"/>
            </w:rPr>
            <w:fldChar w:fldCharType="end"/>
          </w:r>
        </w:p>
        <w:p w14:paraId="217C19ED">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_Toc14346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zh-CN"/>
            </w:rPr>
            <w:t>1.</w:t>
          </w:r>
          <w:r>
            <w:rPr>
              <w:rFonts w:hint="eastAsia" w:ascii="宋体" w:hAnsi="宋体" w:eastAsia="宋体" w:cs="宋体"/>
              <w:bCs/>
              <w:szCs w:val="28"/>
              <w:lang w:val="en-US" w:eastAsia="zh-CN"/>
            </w:rPr>
            <w:t xml:space="preserve">5 </w:t>
          </w:r>
          <w:r>
            <w:rPr>
              <w:rFonts w:hint="eastAsia" w:ascii="宋体" w:hAnsi="宋体" w:eastAsia="宋体" w:cs="宋体"/>
              <w:bCs/>
              <w:szCs w:val="28"/>
              <w:lang w:val="zh-CN"/>
            </w:rPr>
            <w:t>应急预案体系</w:t>
          </w:r>
          <w:r>
            <w:tab/>
          </w:r>
          <w:r>
            <w:fldChar w:fldCharType="begin"/>
          </w:r>
          <w:r>
            <w:instrText xml:space="preserve"> PAGEREF _Toc14346 \h </w:instrText>
          </w:r>
          <w:r>
            <w:fldChar w:fldCharType="separate"/>
          </w:r>
          <w:r>
            <w:t>4</w:t>
          </w:r>
          <w:r>
            <w:fldChar w:fldCharType="end"/>
          </w:r>
          <w:r>
            <w:rPr>
              <w:rFonts w:hint="eastAsia" w:asciiTheme="minorEastAsia" w:hAnsiTheme="minorEastAsia" w:eastAsiaTheme="minorEastAsia" w:cstheme="minorEastAsia"/>
              <w:bCs/>
              <w:szCs w:val="32"/>
            </w:rPr>
            <w:fldChar w:fldCharType="end"/>
          </w:r>
        </w:p>
        <w:p w14:paraId="11274FAA">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_Toc14755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1.6 事件分级</w:t>
          </w:r>
          <w:r>
            <w:tab/>
          </w:r>
          <w:r>
            <w:fldChar w:fldCharType="begin"/>
          </w:r>
          <w:r>
            <w:instrText xml:space="preserve"> PAGEREF _Toc14755 \h </w:instrText>
          </w:r>
          <w:r>
            <w:fldChar w:fldCharType="separate"/>
          </w:r>
          <w:r>
            <w:t>4</w:t>
          </w:r>
          <w:r>
            <w:fldChar w:fldCharType="end"/>
          </w:r>
          <w:r>
            <w:rPr>
              <w:rFonts w:hint="eastAsia" w:asciiTheme="minorEastAsia" w:hAnsiTheme="minorEastAsia" w:eastAsiaTheme="minorEastAsia" w:cstheme="minorEastAsia"/>
              <w:bCs/>
              <w:szCs w:val="32"/>
            </w:rPr>
            <w:fldChar w:fldCharType="end"/>
          </w:r>
        </w:p>
        <w:p w14:paraId="3CDB4748">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_Toc3575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2</w:t>
          </w:r>
          <w:r>
            <w:rPr>
              <w:rFonts w:hint="eastAsia" w:ascii="宋体" w:hAnsi="宋体" w:cs="宋体"/>
              <w:bCs/>
              <w:szCs w:val="32"/>
              <w:lang w:val="en-US" w:eastAsia="zh-CN"/>
            </w:rPr>
            <w:t xml:space="preserve"> </w:t>
          </w:r>
          <w:r>
            <w:rPr>
              <w:rFonts w:hint="eastAsia" w:cs="宋体"/>
              <w:bCs/>
              <w:szCs w:val="32"/>
              <w:lang w:val="en-US" w:eastAsia="zh-CN"/>
            </w:rPr>
            <w:t>开州区温泉镇东河温泉供水站水源地</w:t>
          </w:r>
          <w:r>
            <w:rPr>
              <w:rFonts w:hint="eastAsia" w:ascii="宋体" w:hAnsi="宋体" w:eastAsia="宋体" w:cs="宋体"/>
              <w:bCs/>
              <w:szCs w:val="32"/>
              <w:lang w:val="en-US" w:eastAsia="zh-CN"/>
            </w:rPr>
            <w:t>基础信息</w:t>
          </w:r>
          <w:r>
            <w:tab/>
          </w:r>
          <w:r>
            <w:fldChar w:fldCharType="begin"/>
          </w:r>
          <w:r>
            <w:instrText xml:space="preserve"> PAGEREF _Toc3575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418B2414">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_Toc27473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 xml:space="preserve">2.1 </w:t>
          </w:r>
          <w:r>
            <w:rPr>
              <w:rFonts w:hint="eastAsia" w:ascii="宋体" w:hAnsi="宋体" w:cs="宋体"/>
              <w:bCs/>
              <w:szCs w:val="28"/>
              <w:lang w:val="en-US" w:eastAsia="zh-CN"/>
            </w:rPr>
            <w:t>开州区温泉镇东河温泉供水站水源地</w:t>
          </w:r>
          <w:r>
            <w:rPr>
              <w:rFonts w:hint="eastAsia" w:ascii="宋体" w:hAnsi="宋体" w:eastAsia="宋体" w:cs="宋体"/>
              <w:bCs/>
              <w:szCs w:val="28"/>
              <w:lang w:val="en-US" w:eastAsia="zh-CN"/>
            </w:rPr>
            <w:t>基础信息</w:t>
          </w:r>
          <w:r>
            <w:tab/>
          </w:r>
          <w:r>
            <w:fldChar w:fldCharType="begin"/>
          </w:r>
          <w:r>
            <w:instrText xml:space="preserve"> PAGEREF _Toc27473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733B41AA">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_Toc21294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2.2 饮用水源地保护区划分情况简介</w:t>
          </w:r>
          <w:r>
            <w:tab/>
          </w:r>
          <w:r>
            <w:fldChar w:fldCharType="begin"/>
          </w:r>
          <w:r>
            <w:instrText xml:space="preserve"> PAGEREF _Toc21294 \h </w:instrText>
          </w:r>
          <w:r>
            <w:fldChar w:fldCharType="separate"/>
          </w:r>
          <w:r>
            <w:t>1</w:t>
          </w:r>
          <w:r>
            <w:fldChar w:fldCharType="end"/>
          </w:r>
          <w:r>
            <w:rPr>
              <w:rFonts w:hint="eastAsia" w:asciiTheme="minorEastAsia" w:hAnsiTheme="minorEastAsia" w:eastAsiaTheme="minorEastAsia" w:cstheme="minorEastAsia"/>
              <w:bCs/>
              <w:szCs w:val="32"/>
            </w:rPr>
            <w:fldChar w:fldCharType="end"/>
          </w:r>
        </w:p>
        <w:p w14:paraId="64506F43">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_Toc12038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2.3 饮用水水源地规范化建设现状调查</w:t>
          </w:r>
          <w:r>
            <w:tab/>
          </w:r>
          <w:r>
            <w:fldChar w:fldCharType="begin"/>
          </w:r>
          <w:r>
            <w:instrText xml:space="preserve"> PAGEREF _Toc12038 \h </w:instrText>
          </w:r>
          <w:r>
            <w:fldChar w:fldCharType="separate"/>
          </w:r>
          <w:r>
            <w:t>2</w:t>
          </w:r>
          <w:r>
            <w:fldChar w:fldCharType="end"/>
          </w:r>
          <w:r>
            <w:rPr>
              <w:rFonts w:hint="eastAsia" w:asciiTheme="minorEastAsia" w:hAnsiTheme="minorEastAsia" w:eastAsiaTheme="minorEastAsia" w:cstheme="minorEastAsia"/>
              <w:bCs/>
              <w:szCs w:val="32"/>
            </w:rPr>
            <w:fldChar w:fldCharType="end"/>
          </w:r>
        </w:p>
        <w:p w14:paraId="4D3B5509">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_Toc26530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2.4 水源地环境风险</w:t>
          </w:r>
          <w:r>
            <w:tab/>
          </w:r>
          <w:r>
            <w:fldChar w:fldCharType="begin"/>
          </w:r>
          <w:r>
            <w:instrText xml:space="preserve"> PAGEREF _Toc26530 \h </w:instrText>
          </w:r>
          <w:r>
            <w:fldChar w:fldCharType="separate"/>
          </w:r>
          <w:r>
            <w:t>7</w:t>
          </w:r>
          <w:r>
            <w:fldChar w:fldCharType="end"/>
          </w:r>
          <w:r>
            <w:rPr>
              <w:rFonts w:hint="eastAsia" w:asciiTheme="minorEastAsia" w:hAnsiTheme="minorEastAsia" w:eastAsiaTheme="minorEastAsia" w:cstheme="minorEastAsia"/>
              <w:bCs/>
              <w:szCs w:val="32"/>
            </w:rPr>
            <w:fldChar w:fldCharType="end"/>
          </w:r>
        </w:p>
        <w:p w14:paraId="4E162FE7">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_Toc1557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 应急组织机构体系及职责</w:t>
          </w:r>
          <w:r>
            <w:tab/>
          </w:r>
          <w:r>
            <w:fldChar w:fldCharType="begin"/>
          </w:r>
          <w:r>
            <w:instrText xml:space="preserve"> PAGEREF _Toc1557 \h </w:instrText>
          </w:r>
          <w:r>
            <w:fldChar w:fldCharType="separate"/>
          </w:r>
          <w:r>
            <w:t>10</w:t>
          </w:r>
          <w:r>
            <w:fldChar w:fldCharType="end"/>
          </w:r>
          <w:r>
            <w:rPr>
              <w:rFonts w:hint="eastAsia" w:asciiTheme="minorEastAsia" w:hAnsiTheme="minorEastAsia" w:eastAsiaTheme="minorEastAsia" w:cstheme="minorEastAsia"/>
              <w:bCs/>
              <w:szCs w:val="32"/>
            </w:rPr>
            <w:fldChar w:fldCharType="end"/>
          </w:r>
        </w:p>
        <w:p w14:paraId="3E05A935">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_Toc3034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3.1 应急组织机构</w:t>
          </w:r>
          <w:r>
            <w:tab/>
          </w:r>
          <w:r>
            <w:fldChar w:fldCharType="begin"/>
          </w:r>
          <w:r>
            <w:instrText xml:space="preserve"> PAGEREF _Toc3034 \h </w:instrText>
          </w:r>
          <w:r>
            <w:fldChar w:fldCharType="separate"/>
          </w:r>
          <w:r>
            <w:t>10</w:t>
          </w:r>
          <w:r>
            <w:fldChar w:fldCharType="end"/>
          </w:r>
          <w:r>
            <w:rPr>
              <w:rFonts w:hint="eastAsia" w:asciiTheme="minorEastAsia" w:hAnsiTheme="minorEastAsia" w:eastAsiaTheme="minorEastAsia" w:cstheme="minorEastAsia"/>
              <w:bCs/>
              <w:szCs w:val="32"/>
            </w:rPr>
            <w:fldChar w:fldCharType="end"/>
          </w:r>
        </w:p>
        <w:p w14:paraId="5AE2C220">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_Toc26975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3.2 应急工作机构及职责</w:t>
          </w:r>
          <w:r>
            <w:tab/>
          </w:r>
          <w:r>
            <w:fldChar w:fldCharType="begin"/>
          </w:r>
          <w:r>
            <w:instrText xml:space="preserve"> PAGEREF _Toc26975 \h </w:instrText>
          </w:r>
          <w:r>
            <w:fldChar w:fldCharType="separate"/>
          </w:r>
          <w:r>
            <w:t>10</w:t>
          </w:r>
          <w:r>
            <w:fldChar w:fldCharType="end"/>
          </w:r>
          <w:r>
            <w:rPr>
              <w:rFonts w:hint="eastAsia" w:asciiTheme="minorEastAsia" w:hAnsiTheme="minorEastAsia" w:eastAsiaTheme="minorEastAsia" w:cstheme="minorEastAsia"/>
              <w:bCs/>
              <w:szCs w:val="32"/>
            </w:rPr>
            <w:fldChar w:fldCharType="end"/>
          </w:r>
        </w:p>
        <w:p w14:paraId="30CDEBB3">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_Toc3526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4</w:t>
          </w:r>
          <w:r>
            <w:rPr>
              <w:rFonts w:hint="eastAsia" w:ascii="宋体" w:hAnsi="宋体" w:cs="宋体"/>
              <w:bCs/>
              <w:szCs w:val="32"/>
              <w:lang w:val="en-US" w:eastAsia="zh-CN"/>
            </w:rPr>
            <w:t xml:space="preserve"> </w:t>
          </w:r>
          <w:r>
            <w:rPr>
              <w:rFonts w:hint="eastAsia" w:ascii="宋体" w:hAnsi="宋体" w:eastAsia="宋体" w:cs="宋体"/>
              <w:bCs/>
              <w:szCs w:val="32"/>
              <w:lang w:val="en-US" w:eastAsia="zh-CN"/>
            </w:rPr>
            <w:t>预防和预警</w:t>
          </w:r>
          <w:r>
            <w:tab/>
          </w:r>
          <w:r>
            <w:fldChar w:fldCharType="begin"/>
          </w:r>
          <w:r>
            <w:instrText xml:space="preserve"> PAGEREF _Toc3526 \h </w:instrText>
          </w:r>
          <w:r>
            <w:fldChar w:fldCharType="separate"/>
          </w:r>
          <w:r>
            <w:t>14</w:t>
          </w:r>
          <w:r>
            <w:fldChar w:fldCharType="end"/>
          </w:r>
          <w:r>
            <w:rPr>
              <w:rFonts w:hint="eastAsia" w:asciiTheme="minorEastAsia" w:hAnsiTheme="minorEastAsia" w:eastAsiaTheme="minorEastAsia" w:cstheme="minorEastAsia"/>
              <w:bCs/>
              <w:szCs w:val="32"/>
            </w:rPr>
            <w:fldChar w:fldCharType="end"/>
          </w:r>
        </w:p>
        <w:p w14:paraId="42786365">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_Toc3424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4.1 预警</w:t>
          </w:r>
          <w:r>
            <w:tab/>
          </w:r>
          <w:r>
            <w:fldChar w:fldCharType="begin"/>
          </w:r>
          <w:r>
            <w:instrText xml:space="preserve"> PAGEREF _Toc3424 \h </w:instrText>
          </w:r>
          <w:r>
            <w:fldChar w:fldCharType="separate"/>
          </w:r>
          <w:r>
            <w:t>15</w:t>
          </w:r>
          <w:r>
            <w:fldChar w:fldCharType="end"/>
          </w:r>
          <w:r>
            <w:rPr>
              <w:rFonts w:hint="eastAsia" w:asciiTheme="minorEastAsia" w:hAnsiTheme="minorEastAsia" w:eastAsiaTheme="minorEastAsia" w:cstheme="minorEastAsia"/>
              <w:bCs/>
              <w:szCs w:val="32"/>
            </w:rPr>
            <w:fldChar w:fldCharType="end"/>
          </w:r>
        </w:p>
        <w:p w14:paraId="1EB49327">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_Toc7442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4.2 信息报告</w:t>
          </w:r>
          <w:r>
            <w:tab/>
          </w:r>
          <w:r>
            <w:fldChar w:fldCharType="begin"/>
          </w:r>
          <w:r>
            <w:instrText xml:space="preserve"> PAGEREF _Toc7442 \h </w:instrText>
          </w:r>
          <w:r>
            <w:fldChar w:fldCharType="separate"/>
          </w:r>
          <w:r>
            <w:t>17</w:t>
          </w:r>
          <w:r>
            <w:fldChar w:fldCharType="end"/>
          </w:r>
          <w:r>
            <w:rPr>
              <w:rFonts w:hint="eastAsia" w:asciiTheme="minorEastAsia" w:hAnsiTheme="minorEastAsia" w:eastAsiaTheme="minorEastAsia" w:cstheme="minorEastAsia"/>
              <w:bCs/>
              <w:szCs w:val="32"/>
            </w:rPr>
            <w:fldChar w:fldCharType="end"/>
          </w:r>
        </w:p>
        <w:p w14:paraId="68AB4BB0">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_Toc945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5 应急响应</w:t>
          </w:r>
          <w:r>
            <w:tab/>
          </w:r>
          <w:r>
            <w:fldChar w:fldCharType="begin"/>
          </w:r>
          <w:r>
            <w:instrText xml:space="preserve"> PAGEREF _Toc945 \h </w:instrText>
          </w:r>
          <w:r>
            <w:fldChar w:fldCharType="separate"/>
          </w:r>
          <w:r>
            <w:t>20</w:t>
          </w:r>
          <w:r>
            <w:fldChar w:fldCharType="end"/>
          </w:r>
          <w:r>
            <w:rPr>
              <w:rFonts w:hint="eastAsia" w:asciiTheme="minorEastAsia" w:hAnsiTheme="minorEastAsia" w:eastAsiaTheme="minorEastAsia" w:cstheme="minorEastAsia"/>
              <w:bCs/>
              <w:szCs w:val="32"/>
            </w:rPr>
            <w:fldChar w:fldCharType="end"/>
          </w:r>
        </w:p>
        <w:p w14:paraId="46ACBEF3">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_Toc2854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5.1 响应分级</w:t>
          </w:r>
          <w:r>
            <w:tab/>
          </w:r>
          <w:r>
            <w:fldChar w:fldCharType="begin"/>
          </w:r>
          <w:r>
            <w:instrText xml:space="preserve"> PAGEREF _Toc2854 \h </w:instrText>
          </w:r>
          <w:r>
            <w:fldChar w:fldCharType="separate"/>
          </w:r>
          <w:r>
            <w:t>20</w:t>
          </w:r>
          <w:r>
            <w:fldChar w:fldCharType="end"/>
          </w:r>
          <w:r>
            <w:rPr>
              <w:rFonts w:hint="eastAsia" w:asciiTheme="minorEastAsia" w:hAnsiTheme="minorEastAsia" w:eastAsiaTheme="minorEastAsia" w:cstheme="minorEastAsia"/>
              <w:bCs/>
              <w:szCs w:val="32"/>
            </w:rPr>
            <w:fldChar w:fldCharType="end"/>
          </w:r>
        </w:p>
        <w:p w14:paraId="6A7C7407">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_Toc3452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5.2 先期处置</w:t>
          </w:r>
          <w:r>
            <w:tab/>
          </w:r>
          <w:r>
            <w:fldChar w:fldCharType="begin"/>
          </w:r>
          <w:r>
            <w:instrText xml:space="preserve"> PAGEREF _Toc3452 \h </w:instrText>
          </w:r>
          <w:r>
            <w:fldChar w:fldCharType="separate"/>
          </w:r>
          <w:r>
            <w:t>20</w:t>
          </w:r>
          <w:r>
            <w:fldChar w:fldCharType="end"/>
          </w:r>
          <w:r>
            <w:rPr>
              <w:rFonts w:hint="eastAsia" w:asciiTheme="minorEastAsia" w:hAnsiTheme="minorEastAsia" w:eastAsiaTheme="minorEastAsia" w:cstheme="minorEastAsia"/>
              <w:bCs/>
              <w:szCs w:val="32"/>
            </w:rPr>
            <w:fldChar w:fldCharType="end"/>
          </w:r>
        </w:p>
        <w:p w14:paraId="0517A928">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_Toc7238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5.3 应急处置程序</w:t>
          </w:r>
          <w:r>
            <w:tab/>
          </w:r>
          <w:r>
            <w:fldChar w:fldCharType="begin"/>
          </w:r>
          <w:r>
            <w:instrText xml:space="preserve"> PAGEREF _Toc7238 \h </w:instrText>
          </w:r>
          <w:r>
            <w:fldChar w:fldCharType="separate"/>
          </w:r>
          <w:r>
            <w:t>20</w:t>
          </w:r>
          <w:r>
            <w:fldChar w:fldCharType="end"/>
          </w:r>
          <w:r>
            <w:rPr>
              <w:rFonts w:hint="eastAsia" w:asciiTheme="minorEastAsia" w:hAnsiTheme="minorEastAsia" w:eastAsiaTheme="minorEastAsia" w:cstheme="minorEastAsia"/>
              <w:bCs/>
              <w:szCs w:val="32"/>
            </w:rPr>
            <w:fldChar w:fldCharType="end"/>
          </w:r>
        </w:p>
        <w:p w14:paraId="007D4ADA">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_Toc20153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5.4 响应措施</w:t>
          </w:r>
          <w:r>
            <w:tab/>
          </w:r>
          <w:r>
            <w:fldChar w:fldCharType="begin"/>
          </w:r>
          <w:r>
            <w:instrText xml:space="preserve"> PAGEREF _Toc20153 \h </w:instrText>
          </w:r>
          <w:r>
            <w:fldChar w:fldCharType="separate"/>
          </w:r>
          <w:r>
            <w:t>21</w:t>
          </w:r>
          <w:r>
            <w:fldChar w:fldCharType="end"/>
          </w:r>
          <w:r>
            <w:rPr>
              <w:rFonts w:hint="eastAsia" w:asciiTheme="minorEastAsia" w:hAnsiTheme="minorEastAsia" w:eastAsiaTheme="minorEastAsia" w:cstheme="minorEastAsia"/>
              <w:bCs/>
              <w:szCs w:val="32"/>
            </w:rPr>
            <w:fldChar w:fldCharType="end"/>
          </w:r>
        </w:p>
        <w:p w14:paraId="09F1EE44">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_Toc31324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5.5 响应终止</w:t>
          </w:r>
          <w:r>
            <w:tab/>
          </w:r>
          <w:r>
            <w:fldChar w:fldCharType="begin"/>
          </w:r>
          <w:r>
            <w:instrText xml:space="preserve"> PAGEREF _Toc31324 \h </w:instrText>
          </w:r>
          <w:r>
            <w:fldChar w:fldCharType="separate"/>
          </w:r>
          <w:r>
            <w:t>24</w:t>
          </w:r>
          <w:r>
            <w:fldChar w:fldCharType="end"/>
          </w:r>
          <w:r>
            <w:rPr>
              <w:rFonts w:hint="eastAsia" w:asciiTheme="minorEastAsia" w:hAnsiTheme="minorEastAsia" w:eastAsiaTheme="minorEastAsia" w:cstheme="minorEastAsia"/>
              <w:bCs/>
              <w:szCs w:val="32"/>
            </w:rPr>
            <w:fldChar w:fldCharType="end"/>
          </w:r>
        </w:p>
        <w:p w14:paraId="2D2743DA">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_Toc20526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6 善后工作</w:t>
          </w:r>
          <w:r>
            <w:tab/>
          </w:r>
          <w:r>
            <w:fldChar w:fldCharType="begin"/>
          </w:r>
          <w:r>
            <w:instrText xml:space="preserve"> PAGEREF _Toc20526 \h </w:instrText>
          </w:r>
          <w:r>
            <w:fldChar w:fldCharType="separate"/>
          </w:r>
          <w:r>
            <w:t>25</w:t>
          </w:r>
          <w:r>
            <w:fldChar w:fldCharType="end"/>
          </w:r>
          <w:r>
            <w:rPr>
              <w:rFonts w:hint="eastAsia" w:asciiTheme="minorEastAsia" w:hAnsiTheme="minorEastAsia" w:eastAsiaTheme="minorEastAsia" w:cstheme="minorEastAsia"/>
              <w:bCs/>
              <w:szCs w:val="32"/>
            </w:rPr>
            <w:fldChar w:fldCharType="end"/>
          </w:r>
        </w:p>
        <w:p w14:paraId="18218E34">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_Toc8057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6.1 损害评估</w:t>
          </w:r>
          <w:r>
            <w:tab/>
          </w:r>
          <w:r>
            <w:fldChar w:fldCharType="begin"/>
          </w:r>
          <w:r>
            <w:instrText xml:space="preserve"> PAGEREF _Toc8057 \h </w:instrText>
          </w:r>
          <w:r>
            <w:fldChar w:fldCharType="separate"/>
          </w:r>
          <w:r>
            <w:t>25</w:t>
          </w:r>
          <w:r>
            <w:fldChar w:fldCharType="end"/>
          </w:r>
          <w:r>
            <w:rPr>
              <w:rFonts w:hint="eastAsia" w:asciiTheme="minorEastAsia" w:hAnsiTheme="minorEastAsia" w:eastAsiaTheme="minorEastAsia" w:cstheme="minorEastAsia"/>
              <w:bCs/>
              <w:szCs w:val="32"/>
            </w:rPr>
            <w:fldChar w:fldCharType="end"/>
          </w:r>
        </w:p>
        <w:p w14:paraId="3E0628F2">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_Toc28290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6.2 保险理赔</w:t>
          </w:r>
          <w:r>
            <w:tab/>
          </w:r>
          <w:r>
            <w:fldChar w:fldCharType="begin"/>
          </w:r>
          <w:r>
            <w:instrText xml:space="preserve"> PAGEREF _Toc28290 \h </w:instrText>
          </w:r>
          <w:r>
            <w:fldChar w:fldCharType="separate"/>
          </w:r>
          <w:r>
            <w:t>25</w:t>
          </w:r>
          <w:r>
            <w:fldChar w:fldCharType="end"/>
          </w:r>
          <w:r>
            <w:rPr>
              <w:rFonts w:hint="eastAsia" w:asciiTheme="minorEastAsia" w:hAnsiTheme="minorEastAsia" w:eastAsiaTheme="minorEastAsia" w:cstheme="minorEastAsia"/>
              <w:bCs/>
              <w:szCs w:val="32"/>
            </w:rPr>
            <w:fldChar w:fldCharType="end"/>
          </w:r>
        </w:p>
        <w:p w14:paraId="4552DFA0">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_Toc32026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6.3 事件调查</w:t>
          </w:r>
          <w:r>
            <w:tab/>
          </w:r>
          <w:r>
            <w:fldChar w:fldCharType="begin"/>
          </w:r>
          <w:r>
            <w:instrText xml:space="preserve"> PAGEREF _Toc32026 \h </w:instrText>
          </w:r>
          <w:r>
            <w:fldChar w:fldCharType="separate"/>
          </w:r>
          <w:r>
            <w:t>25</w:t>
          </w:r>
          <w:r>
            <w:fldChar w:fldCharType="end"/>
          </w:r>
          <w:r>
            <w:rPr>
              <w:rFonts w:hint="eastAsia" w:asciiTheme="minorEastAsia" w:hAnsiTheme="minorEastAsia" w:eastAsiaTheme="minorEastAsia" w:cstheme="minorEastAsia"/>
              <w:bCs/>
              <w:szCs w:val="32"/>
            </w:rPr>
            <w:fldChar w:fldCharType="end"/>
          </w:r>
        </w:p>
        <w:p w14:paraId="58D7A6E9">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_Toc1769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6.4 善后处置</w:t>
          </w:r>
          <w:r>
            <w:tab/>
          </w:r>
          <w:r>
            <w:fldChar w:fldCharType="begin"/>
          </w:r>
          <w:r>
            <w:instrText xml:space="preserve"> PAGEREF _Toc1769 \h </w:instrText>
          </w:r>
          <w:r>
            <w:fldChar w:fldCharType="separate"/>
          </w:r>
          <w:r>
            <w:t>25</w:t>
          </w:r>
          <w:r>
            <w:fldChar w:fldCharType="end"/>
          </w:r>
          <w:r>
            <w:rPr>
              <w:rFonts w:hint="eastAsia" w:asciiTheme="minorEastAsia" w:hAnsiTheme="minorEastAsia" w:eastAsiaTheme="minorEastAsia" w:cstheme="minorEastAsia"/>
              <w:bCs/>
              <w:szCs w:val="32"/>
            </w:rPr>
            <w:fldChar w:fldCharType="end"/>
          </w:r>
        </w:p>
        <w:p w14:paraId="6306F7AC">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_Toc3747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6.5 情况通报</w:t>
          </w:r>
          <w:r>
            <w:tab/>
          </w:r>
          <w:r>
            <w:fldChar w:fldCharType="begin"/>
          </w:r>
          <w:r>
            <w:instrText xml:space="preserve"> PAGEREF _Toc3747 \h </w:instrText>
          </w:r>
          <w:r>
            <w:fldChar w:fldCharType="separate"/>
          </w:r>
          <w:r>
            <w:t>25</w:t>
          </w:r>
          <w:r>
            <w:fldChar w:fldCharType="end"/>
          </w:r>
          <w:r>
            <w:rPr>
              <w:rFonts w:hint="eastAsia" w:asciiTheme="minorEastAsia" w:hAnsiTheme="minorEastAsia" w:eastAsiaTheme="minorEastAsia" w:cstheme="minorEastAsia"/>
              <w:bCs/>
              <w:szCs w:val="32"/>
            </w:rPr>
            <w:fldChar w:fldCharType="end"/>
          </w:r>
        </w:p>
        <w:p w14:paraId="60423DA9">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_Toc30260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32"/>
              <w:lang w:val="en-US" w:eastAsia="zh-CN"/>
            </w:rPr>
            <w:t>7 应急保障</w:t>
          </w:r>
          <w:r>
            <w:tab/>
          </w:r>
          <w:r>
            <w:fldChar w:fldCharType="begin"/>
          </w:r>
          <w:r>
            <w:instrText xml:space="preserve"> PAGEREF _Toc30260 \h </w:instrText>
          </w:r>
          <w:r>
            <w:fldChar w:fldCharType="separate"/>
          </w:r>
          <w:r>
            <w:t>26</w:t>
          </w:r>
          <w:r>
            <w:fldChar w:fldCharType="end"/>
          </w:r>
          <w:r>
            <w:rPr>
              <w:rFonts w:hint="eastAsia" w:asciiTheme="minorEastAsia" w:hAnsiTheme="minorEastAsia" w:eastAsiaTheme="minorEastAsia" w:cstheme="minorEastAsia"/>
              <w:bCs/>
              <w:szCs w:val="32"/>
            </w:rPr>
            <w:fldChar w:fldCharType="end"/>
          </w:r>
        </w:p>
        <w:p w14:paraId="495F161F">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_Toc14518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7.1 队伍保障</w:t>
          </w:r>
          <w:r>
            <w:tab/>
          </w:r>
          <w:r>
            <w:fldChar w:fldCharType="begin"/>
          </w:r>
          <w:r>
            <w:instrText xml:space="preserve"> PAGEREF _Toc14518 \h </w:instrText>
          </w:r>
          <w:r>
            <w:fldChar w:fldCharType="separate"/>
          </w:r>
          <w:r>
            <w:t>26</w:t>
          </w:r>
          <w:r>
            <w:fldChar w:fldCharType="end"/>
          </w:r>
          <w:r>
            <w:rPr>
              <w:rFonts w:hint="eastAsia" w:asciiTheme="minorEastAsia" w:hAnsiTheme="minorEastAsia" w:eastAsiaTheme="minorEastAsia" w:cstheme="minorEastAsia"/>
              <w:bCs/>
              <w:szCs w:val="32"/>
            </w:rPr>
            <w:fldChar w:fldCharType="end"/>
          </w:r>
        </w:p>
        <w:p w14:paraId="447E609A">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_Toc25922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7.2 物资、装备与资金保障</w:t>
          </w:r>
          <w:r>
            <w:tab/>
          </w:r>
          <w:r>
            <w:fldChar w:fldCharType="begin"/>
          </w:r>
          <w:r>
            <w:instrText xml:space="preserve"> PAGEREF _Toc25922 \h </w:instrText>
          </w:r>
          <w:r>
            <w:fldChar w:fldCharType="separate"/>
          </w:r>
          <w:r>
            <w:t>26</w:t>
          </w:r>
          <w:r>
            <w:fldChar w:fldCharType="end"/>
          </w:r>
          <w:r>
            <w:rPr>
              <w:rFonts w:hint="eastAsia" w:asciiTheme="minorEastAsia" w:hAnsiTheme="minorEastAsia" w:eastAsiaTheme="minorEastAsia" w:cstheme="minorEastAsia"/>
              <w:bCs/>
              <w:szCs w:val="32"/>
            </w:rPr>
            <w:fldChar w:fldCharType="end"/>
          </w:r>
        </w:p>
        <w:p w14:paraId="58C3ABB2">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_Toc9300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7.3 通信、交通与运输保障</w:t>
          </w:r>
          <w:r>
            <w:tab/>
          </w:r>
          <w:r>
            <w:fldChar w:fldCharType="begin"/>
          </w:r>
          <w:r>
            <w:instrText xml:space="preserve"> PAGEREF _Toc9300 \h </w:instrText>
          </w:r>
          <w:r>
            <w:fldChar w:fldCharType="separate"/>
          </w:r>
          <w:r>
            <w:t>26</w:t>
          </w:r>
          <w:r>
            <w:fldChar w:fldCharType="end"/>
          </w:r>
          <w:r>
            <w:rPr>
              <w:rFonts w:hint="eastAsia" w:asciiTheme="minorEastAsia" w:hAnsiTheme="minorEastAsia" w:eastAsiaTheme="minorEastAsia" w:cstheme="minorEastAsia"/>
              <w:bCs/>
              <w:szCs w:val="32"/>
            </w:rPr>
            <w:fldChar w:fldCharType="end"/>
          </w:r>
        </w:p>
        <w:p w14:paraId="12BB97CA">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_Toc30252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szCs w:val="28"/>
              <w:lang w:val="en-US" w:eastAsia="zh-CN"/>
            </w:rPr>
            <w:t>7.4 技术保障</w:t>
          </w:r>
          <w:r>
            <w:tab/>
          </w:r>
          <w:r>
            <w:fldChar w:fldCharType="begin"/>
          </w:r>
          <w:r>
            <w:instrText xml:space="preserve"> PAGEREF _Toc30252 \h </w:instrText>
          </w:r>
          <w:r>
            <w:fldChar w:fldCharType="separate"/>
          </w:r>
          <w:r>
            <w:t>27</w:t>
          </w:r>
          <w:r>
            <w:fldChar w:fldCharType="end"/>
          </w:r>
          <w:r>
            <w:rPr>
              <w:rFonts w:hint="eastAsia" w:asciiTheme="minorEastAsia" w:hAnsiTheme="minorEastAsia" w:eastAsiaTheme="minorEastAsia" w:cstheme="minorEastAsia"/>
              <w:bCs/>
              <w:szCs w:val="32"/>
            </w:rPr>
            <w:fldChar w:fldCharType="end"/>
          </w:r>
        </w:p>
        <w:p w14:paraId="701D6E44">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_Toc31718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8 监督管理</w:t>
          </w:r>
          <w:r>
            <w:tab/>
          </w:r>
          <w:r>
            <w:fldChar w:fldCharType="begin"/>
          </w:r>
          <w:r>
            <w:instrText xml:space="preserve"> PAGEREF _Toc31718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6316F1E3">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_Toc16292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8.1 应急预案演练</w:t>
          </w:r>
          <w:r>
            <w:tab/>
          </w:r>
          <w:r>
            <w:fldChar w:fldCharType="begin"/>
          </w:r>
          <w:r>
            <w:instrText xml:space="preserve"> PAGEREF _Toc16292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5E758BE6">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_Toc24987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8.2 宣传</w:t>
          </w:r>
          <w:r>
            <w:tab/>
          </w:r>
          <w:r>
            <w:fldChar w:fldCharType="begin"/>
          </w:r>
          <w:r>
            <w:instrText xml:space="preserve"> PAGEREF _Toc24987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6B1BA3D6">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_Toc12370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8.3 培训</w:t>
          </w:r>
          <w:r>
            <w:tab/>
          </w:r>
          <w:r>
            <w:fldChar w:fldCharType="begin"/>
          </w:r>
          <w:r>
            <w:instrText xml:space="preserve"> PAGEREF _Toc12370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788535C4">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_Toc29128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8.4 预案管理</w:t>
          </w:r>
          <w:r>
            <w:tab/>
          </w:r>
          <w:r>
            <w:fldChar w:fldCharType="begin"/>
          </w:r>
          <w:r>
            <w:instrText xml:space="preserve"> PAGEREF _Toc29128 \h </w:instrText>
          </w:r>
          <w:r>
            <w:fldChar w:fldCharType="separate"/>
          </w:r>
          <w:r>
            <w:t>28</w:t>
          </w:r>
          <w:r>
            <w:fldChar w:fldCharType="end"/>
          </w:r>
          <w:r>
            <w:rPr>
              <w:rFonts w:hint="eastAsia" w:asciiTheme="minorEastAsia" w:hAnsiTheme="minorEastAsia" w:eastAsiaTheme="minorEastAsia" w:cstheme="minorEastAsia"/>
              <w:bCs/>
              <w:szCs w:val="32"/>
            </w:rPr>
            <w:fldChar w:fldCharType="end"/>
          </w:r>
        </w:p>
        <w:p w14:paraId="5B3058DF">
          <w:pPr>
            <w:pStyle w:val="10"/>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_Toc581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kern w:val="2"/>
              <w:szCs w:val="32"/>
              <w:lang w:val="en-US" w:eastAsia="zh-CN" w:bidi="ar-SA"/>
            </w:rPr>
            <w:t>9 附件和附图</w:t>
          </w:r>
          <w:r>
            <w:tab/>
          </w:r>
          <w:r>
            <w:fldChar w:fldCharType="begin"/>
          </w:r>
          <w:r>
            <w:instrText xml:space="preserve"> PAGEREF _Toc581 \h </w:instrText>
          </w:r>
          <w:r>
            <w:fldChar w:fldCharType="separate"/>
          </w:r>
          <w:r>
            <w:t>30</w:t>
          </w:r>
          <w:r>
            <w:fldChar w:fldCharType="end"/>
          </w:r>
          <w:r>
            <w:rPr>
              <w:rFonts w:hint="eastAsia" w:asciiTheme="minorEastAsia" w:hAnsiTheme="minorEastAsia" w:eastAsiaTheme="minorEastAsia" w:cstheme="minorEastAsia"/>
              <w:bCs/>
              <w:szCs w:val="32"/>
            </w:rPr>
            <w:fldChar w:fldCharType="end"/>
          </w:r>
        </w:p>
        <w:p w14:paraId="5C1018D7">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_Toc31014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rPr>
            <w:t>附件1：</w:t>
          </w:r>
          <w:r>
            <w:rPr>
              <w:rFonts w:hint="eastAsia" w:ascii="宋体" w:hAnsi="宋体" w:eastAsia="宋体" w:cs="宋体"/>
              <w:szCs w:val="28"/>
              <w:lang w:val="en-US" w:eastAsia="zh-CN"/>
            </w:rPr>
            <w:t>应急组织机构名单</w:t>
          </w:r>
          <w:r>
            <w:tab/>
          </w:r>
          <w:r>
            <w:fldChar w:fldCharType="begin"/>
          </w:r>
          <w:r>
            <w:instrText xml:space="preserve"> PAGEREF _Toc31014 \h </w:instrText>
          </w:r>
          <w:r>
            <w:fldChar w:fldCharType="separate"/>
          </w:r>
          <w:r>
            <w:t>31</w:t>
          </w:r>
          <w:r>
            <w:fldChar w:fldCharType="end"/>
          </w:r>
          <w:r>
            <w:rPr>
              <w:rFonts w:hint="eastAsia" w:asciiTheme="minorEastAsia" w:hAnsiTheme="minorEastAsia" w:eastAsiaTheme="minorEastAsia" w:cstheme="minorEastAsia"/>
              <w:bCs/>
              <w:szCs w:val="32"/>
            </w:rPr>
            <w:fldChar w:fldCharType="end"/>
          </w:r>
        </w:p>
        <w:p w14:paraId="2D6800B6">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_Toc26279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附件2：温泉镇突发环境事件应急物资清单</w:t>
          </w:r>
          <w:r>
            <w:tab/>
          </w:r>
          <w:r>
            <w:fldChar w:fldCharType="begin"/>
          </w:r>
          <w:r>
            <w:instrText xml:space="preserve"> PAGEREF _Toc26279 \h </w:instrText>
          </w:r>
          <w:r>
            <w:fldChar w:fldCharType="separate"/>
          </w:r>
          <w:r>
            <w:t>33</w:t>
          </w:r>
          <w:r>
            <w:fldChar w:fldCharType="end"/>
          </w:r>
          <w:r>
            <w:rPr>
              <w:rFonts w:hint="eastAsia" w:asciiTheme="minorEastAsia" w:hAnsiTheme="minorEastAsia" w:eastAsiaTheme="minorEastAsia" w:cstheme="minorEastAsia"/>
              <w:bCs/>
              <w:szCs w:val="32"/>
            </w:rPr>
            <w:fldChar w:fldCharType="end"/>
          </w:r>
        </w:p>
        <w:p w14:paraId="63B48DA6">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_Toc1573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附件3：开州区应急物资储备情况</w:t>
          </w:r>
          <w:r>
            <w:tab/>
          </w:r>
          <w:r>
            <w:fldChar w:fldCharType="begin"/>
          </w:r>
          <w:r>
            <w:instrText xml:space="preserve"> PAGEREF _Toc1573 \h </w:instrText>
          </w:r>
          <w:r>
            <w:fldChar w:fldCharType="separate"/>
          </w:r>
          <w:r>
            <w:t>34</w:t>
          </w:r>
          <w:r>
            <w:fldChar w:fldCharType="end"/>
          </w:r>
          <w:r>
            <w:rPr>
              <w:rFonts w:hint="eastAsia" w:asciiTheme="minorEastAsia" w:hAnsiTheme="minorEastAsia" w:eastAsiaTheme="minorEastAsia" w:cstheme="minorEastAsia"/>
              <w:bCs/>
              <w:szCs w:val="32"/>
            </w:rPr>
            <w:fldChar w:fldCharType="end"/>
          </w:r>
        </w:p>
        <w:p w14:paraId="203FCFDB">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_Toc5208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附图1  开州区行政区划图</w:t>
          </w:r>
          <w:r>
            <w:tab/>
          </w:r>
          <w:r>
            <w:fldChar w:fldCharType="begin"/>
          </w:r>
          <w:r>
            <w:instrText xml:space="preserve"> PAGEREF _Toc5208 \h </w:instrText>
          </w:r>
          <w:r>
            <w:fldChar w:fldCharType="separate"/>
          </w:r>
          <w:r>
            <w:t>37</w:t>
          </w:r>
          <w:r>
            <w:fldChar w:fldCharType="end"/>
          </w:r>
          <w:r>
            <w:rPr>
              <w:rFonts w:hint="eastAsia" w:asciiTheme="minorEastAsia" w:hAnsiTheme="minorEastAsia" w:eastAsiaTheme="minorEastAsia" w:cstheme="minorEastAsia"/>
              <w:bCs/>
              <w:szCs w:val="32"/>
            </w:rPr>
            <w:fldChar w:fldCharType="end"/>
          </w:r>
        </w:p>
        <w:p w14:paraId="420CE30A">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_Toc30122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附图2  开州区水系图</w:t>
          </w:r>
          <w:r>
            <w:tab/>
          </w:r>
          <w:r>
            <w:fldChar w:fldCharType="begin"/>
          </w:r>
          <w:r>
            <w:instrText xml:space="preserve"> PAGEREF _Toc30122 \h </w:instrText>
          </w:r>
          <w:r>
            <w:fldChar w:fldCharType="separate"/>
          </w:r>
          <w:r>
            <w:t>38</w:t>
          </w:r>
          <w:r>
            <w:fldChar w:fldCharType="end"/>
          </w:r>
          <w:r>
            <w:rPr>
              <w:rFonts w:hint="eastAsia" w:asciiTheme="minorEastAsia" w:hAnsiTheme="minorEastAsia" w:eastAsiaTheme="minorEastAsia" w:cstheme="minorEastAsia"/>
              <w:bCs/>
              <w:szCs w:val="32"/>
            </w:rPr>
            <w:fldChar w:fldCharType="end"/>
          </w:r>
        </w:p>
        <w:p w14:paraId="6000CFD6">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_Toc30750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附图3-1  开州区温泉镇东河温泉供水站水源地地理位置图</w:t>
          </w:r>
          <w:r>
            <w:tab/>
          </w:r>
          <w:r>
            <w:fldChar w:fldCharType="begin"/>
          </w:r>
          <w:r>
            <w:instrText xml:space="preserve"> PAGEREF _Toc30750 \h </w:instrText>
          </w:r>
          <w:r>
            <w:fldChar w:fldCharType="separate"/>
          </w:r>
          <w:r>
            <w:t>39</w:t>
          </w:r>
          <w:r>
            <w:fldChar w:fldCharType="end"/>
          </w:r>
          <w:r>
            <w:rPr>
              <w:rFonts w:hint="eastAsia" w:asciiTheme="minorEastAsia" w:hAnsiTheme="minorEastAsia" w:eastAsiaTheme="minorEastAsia" w:cstheme="minorEastAsia"/>
              <w:bCs/>
              <w:szCs w:val="32"/>
            </w:rPr>
            <w:fldChar w:fldCharType="end"/>
          </w:r>
        </w:p>
        <w:p w14:paraId="7161BFDC">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_Toc24310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bCs/>
              <w:w w:val="90"/>
              <w:szCs w:val="28"/>
              <w:lang w:val="en-US" w:eastAsia="zh-CN"/>
            </w:rPr>
            <w:t>附图3-2  开州区温泉镇东河温泉场镇集中供水工程水源地地理位置图</w:t>
          </w:r>
          <w:r>
            <w:tab/>
          </w:r>
          <w:r>
            <w:fldChar w:fldCharType="begin"/>
          </w:r>
          <w:r>
            <w:instrText xml:space="preserve"> PAGEREF _Toc24310 \h </w:instrText>
          </w:r>
          <w:r>
            <w:fldChar w:fldCharType="separate"/>
          </w:r>
          <w:r>
            <w:t>40</w:t>
          </w:r>
          <w:r>
            <w:fldChar w:fldCharType="end"/>
          </w:r>
          <w:r>
            <w:rPr>
              <w:rFonts w:hint="eastAsia" w:asciiTheme="minorEastAsia" w:hAnsiTheme="minorEastAsia" w:eastAsiaTheme="minorEastAsia" w:cstheme="minorEastAsia"/>
              <w:bCs/>
              <w:szCs w:val="32"/>
            </w:rPr>
            <w:fldChar w:fldCharType="end"/>
          </w:r>
        </w:p>
        <w:p w14:paraId="77D67FAF">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_Toc31621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附图4-1  开州区温泉镇东河温泉供水站水源地及固定、移动风险源分布图</w:t>
          </w:r>
          <w:r>
            <w:tab/>
          </w:r>
          <w:r>
            <w:fldChar w:fldCharType="begin"/>
          </w:r>
          <w:r>
            <w:instrText xml:space="preserve"> PAGEREF _Toc31621 \h </w:instrText>
          </w:r>
          <w:r>
            <w:fldChar w:fldCharType="separate"/>
          </w:r>
          <w:r>
            <w:t>41</w:t>
          </w:r>
          <w:r>
            <w:fldChar w:fldCharType="end"/>
          </w:r>
          <w:r>
            <w:rPr>
              <w:rFonts w:hint="eastAsia" w:asciiTheme="minorEastAsia" w:hAnsiTheme="minorEastAsia" w:eastAsiaTheme="minorEastAsia" w:cstheme="minorEastAsia"/>
              <w:bCs/>
              <w:szCs w:val="32"/>
            </w:rPr>
            <w:fldChar w:fldCharType="end"/>
          </w:r>
        </w:p>
        <w:p w14:paraId="391C58A6">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_Toc8070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附图4-2  开州区温泉镇东河温泉场镇集中供水工程水源地及固定、移动风险源分布图</w:t>
          </w:r>
          <w:r>
            <w:tab/>
          </w:r>
          <w:r>
            <w:fldChar w:fldCharType="begin"/>
          </w:r>
          <w:r>
            <w:instrText xml:space="preserve"> PAGEREF _Toc8070 \h </w:instrText>
          </w:r>
          <w:r>
            <w:fldChar w:fldCharType="separate"/>
          </w:r>
          <w:r>
            <w:t>41</w:t>
          </w:r>
          <w:r>
            <w:fldChar w:fldCharType="end"/>
          </w:r>
          <w:r>
            <w:rPr>
              <w:rFonts w:hint="eastAsia" w:asciiTheme="minorEastAsia" w:hAnsiTheme="minorEastAsia" w:eastAsiaTheme="minorEastAsia" w:cstheme="minorEastAsia"/>
              <w:bCs/>
              <w:szCs w:val="32"/>
            </w:rPr>
            <w:fldChar w:fldCharType="end"/>
          </w:r>
        </w:p>
        <w:p w14:paraId="5C6F27F7">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_Toc16301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附图5 突发环境事件应急物资分布图</w:t>
          </w:r>
          <w:r>
            <w:tab/>
          </w:r>
          <w:r>
            <w:fldChar w:fldCharType="begin"/>
          </w:r>
          <w:r>
            <w:instrText xml:space="preserve"> PAGEREF _Toc16301 \h </w:instrText>
          </w:r>
          <w:r>
            <w:fldChar w:fldCharType="separate"/>
          </w:r>
          <w:r>
            <w:t>42</w:t>
          </w:r>
          <w:r>
            <w:fldChar w:fldCharType="end"/>
          </w:r>
          <w:r>
            <w:rPr>
              <w:rFonts w:hint="eastAsia" w:asciiTheme="minorEastAsia" w:hAnsiTheme="minorEastAsia" w:eastAsiaTheme="minorEastAsia" w:cstheme="minorEastAsia"/>
              <w:bCs/>
              <w:szCs w:val="32"/>
            </w:rPr>
            <w:fldChar w:fldCharType="end"/>
          </w:r>
        </w:p>
        <w:p w14:paraId="339B0E2C">
          <w:pPr>
            <w:pStyle w:val="12"/>
            <w:tabs>
              <w:tab w:val="right" w:leader="dot" w:pos="9026"/>
            </w:tabs>
          </w:pPr>
          <w:r>
            <w:rPr>
              <w:rFonts w:hint="eastAsia" w:asciiTheme="minorEastAsia" w:hAnsiTheme="minorEastAsia" w:eastAsiaTheme="minorEastAsia" w:cstheme="minorEastAsia"/>
              <w:bCs/>
              <w:szCs w:val="32"/>
            </w:rPr>
            <w:fldChar w:fldCharType="begin"/>
          </w:r>
          <w:r>
            <w:rPr>
              <w:rFonts w:hint="eastAsia" w:asciiTheme="minorEastAsia" w:hAnsiTheme="minorEastAsia" w:eastAsiaTheme="minorEastAsia" w:cstheme="minorEastAsia"/>
              <w:bCs/>
              <w:szCs w:val="32"/>
            </w:rPr>
            <w:instrText xml:space="preserve"> HYPERLINK \l _Toc3879 </w:instrText>
          </w:r>
          <w:r>
            <w:rPr>
              <w:rFonts w:hint="eastAsia" w:asciiTheme="minorEastAsia" w:hAnsiTheme="minorEastAsia" w:eastAsiaTheme="minorEastAsia" w:cstheme="minorEastAsia"/>
              <w:bCs/>
              <w:szCs w:val="32"/>
            </w:rPr>
            <w:fldChar w:fldCharType="separate"/>
          </w:r>
          <w:r>
            <w:rPr>
              <w:rFonts w:hint="eastAsia" w:ascii="宋体" w:hAnsi="宋体" w:eastAsia="宋体" w:cs="宋体"/>
              <w:szCs w:val="28"/>
              <w:lang w:val="en-US" w:eastAsia="zh-CN"/>
            </w:rPr>
            <w:t>附图6 饮用水源地监测点位分布图</w:t>
          </w:r>
          <w:r>
            <w:tab/>
          </w:r>
          <w:r>
            <w:fldChar w:fldCharType="begin"/>
          </w:r>
          <w:r>
            <w:instrText xml:space="preserve"> PAGEREF _Toc3879 \h </w:instrText>
          </w:r>
          <w:r>
            <w:fldChar w:fldCharType="separate"/>
          </w:r>
          <w:r>
            <w:t>43</w:t>
          </w:r>
          <w:r>
            <w:fldChar w:fldCharType="end"/>
          </w:r>
          <w:r>
            <w:rPr>
              <w:rFonts w:hint="eastAsia" w:asciiTheme="minorEastAsia" w:hAnsiTheme="minorEastAsia" w:eastAsiaTheme="minorEastAsia" w:cstheme="minorEastAsia"/>
              <w:bCs/>
              <w:szCs w:val="32"/>
            </w:rPr>
            <w:fldChar w:fldCharType="end"/>
          </w:r>
        </w:p>
        <w:p w14:paraId="45CF907B">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kern w:val="2"/>
              <w:sz w:val="32"/>
              <w:szCs w:val="32"/>
              <w:lang w:val="zh-CN" w:eastAsia="zh-CN" w:bidi="zh-CN"/>
            </w:rPr>
          </w:pPr>
          <w:r>
            <w:rPr>
              <w:rFonts w:hint="eastAsia" w:asciiTheme="minorEastAsia" w:hAnsiTheme="minorEastAsia" w:eastAsiaTheme="minorEastAsia" w:cstheme="minorEastAsia"/>
              <w:bCs/>
              <w:szCs w:val="32"/>
            </w:rPr>
            <w:fldChar w:fldCharType="end"/>
          </w:r>
        </w:p>
      </w:sdtContent>
    </w:sdt>
    <w:p w14:paraId="54539CB1">
      <w:pPr>
        <w:pStyle w:val="2"/>
        <w:pageBreakBefore w:val="0"/>
        <w:widowControl w:val="0"/>
        <w:kinsoku/>
        <w:wordWrap/>
        <w:overflowPunct/>
        <w:topLinePunct w:val="0"/>
        <w:autoSpaceDE/>
        <w:autoSpaceDN/>
        <w:bidi w:val="0"/>
        <w:adjustRightInd/>
        <w:snapToGrid/>
        <w:spacing w:line="360" w:lineRule="auto"/>
        <w:ind w:left="0" w:leftChars="0"/>
        <w:jc w:val="center"/>
        <w:textAlignment w:val="auto"/>
        <w:outlineLvl w:val="9"/>
        <w:rPr>
          <w:rFonts w:hint="eastAsia" w:asciiTheme="minorEastAsia" w:hAnsiTheme="minorEastAsia" w:eastAsiaTheme="minorEastAsia" w:cstheme="minorEastAsia"/>
          <w:b/>
          <w:bCs/>
          <w:kern w:val="2"/>
          <w:sz w:val="32"/>
          <w:szCs w:val="32"/>
          <w:lang w:val="zh-CN" w:eastAsia="zh-CN" w:bidi="zh-CN"/>
        </w:rPr>
        <w:sectPr>
          <w:footerReference r:id="rId6" w:type="first"/>
          <w:headerReference r:id="rId3" w:type="default"/>
          <w:footerReference r:id="rId4" w:type="default"/>
          <w:footerReference r:id="rId5" w:type="even"/>
          <w:pgSz w:w="11906" w:h="16838"/>
          <w:pgMar w:top="1440" w:right="1440" w:bottom="1440" w:left="1440" w:header="1134" w:footer="992" w:gutter="0"/>
          <w:pgBorders>
            <w:top w:val="none" w:sz="0" w:space="0"/>
            <w:left w:val="none" w:sz="0" w:space="0"/>
            <w:bottom w:val="none" w:sz="0" w:space="0"/>
            <w:right w:val="none" w:sz="0" w:space="0"/>
          </w:pgBorders>
          <w:pgNumType w:fmt="decimal" w:start="1"/>
          <w:cols w:space="720" w:num="1"/>
          <w:docGrid w:type="lines" w:linePitch="318" w:charSpace="0"/>
        </w:sectPr>
      </w:pPr>
    </w:p>
    <w:p w14:paraId="231F5401">
      <w:pPr>
        <w:pStyle w:val="13"/>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7"/>
          <w:rFonts w:hint="eastAsia" w:ascii="宋体" w:hAnsi="宋体" w:eastAsia="宋体" w:cs="宋体"/>
          <w:b/>
          <w:bCs/>
          <w:color w:val="000000"/>
          <w:sz w:val="32"/>
          <w:szCs w:val="32"/>
          <w:lang w:val="en-US" w:eastAsia="zh-CN"/>
        </w:rPr>
      </w:pPr>
      <w:bookmarkStart w:id="0" w:name="_Toc12833"/>
      <w:bookmarkStart w:id="1" w:name="_Toc4877"/>
      <w:r>
        <w:rPr>
          <w:rStyle w:val="17"/>
          <w:rFonts w:hint="eastAsia" w:ascii="宋体" w:hAnsi="宋体" w:eastAsia="宋体" w:cs="宋体"/>
          <w:b/>
          <w:bCs/>
          <w:color w:val="000000"/>
          <w:sz w:val="32"/>
          <w:szCs w:val="32"/>
          <w:lang w:val="en-US" w:eastAsia="zh-CN"/>
        </w:rPr>
        <w:t>1总则</w:t>
      </w:r>
      <w:bookmarkEnd w:id="0"/>
      <w:bookmarkEnd w:id="1"/>
    </w:p>
    <w:p w14:paraId="2FDD4913">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2" w:name="_Toc288137727"/>
      <w:bookmarkStart w:id="3" w:name="_Toc26600"/>
      <w:bookmarkStart w:id="4" w:name="_Toc6900"/>
      <w:r>
        <w:rPr>
          <w:rFonts w:hint="eastAsia" w:ascii="宋体" w:hAnsi="宋体" w:eastAsia="宋体" w:cs="宋体"/>
          <w:b/>
          <w:bCs/>
          <w:color w:val="000000"/>
          <w:sz w:val="28"/>
          <w:szCs w:val="28"/>
        </w:rPr>
        <w:t>1.1</w:t>
      </w:r>
      <w:bookmarkEnd w:id="2"/>
      <w:r>
        <w:rPr>
          <w:rFonts w:hint="eastAsia" w:ascii="宋体" w:hAnsi="宋体" w:cs="宋体"/>
          <w:b/>
          <w:bCs/>
          <w:color w:val="000000"/>
          <w:sz w:val="28"/>
          <w:szCs w:val="28"/>
          <w:lang w:val="en-US" w:eastAsia="zh-CN"/>
        </w:rPr>
        <w:t xml:space="preserve"> </w:t>
      </w:r>
      <w:r>
        <w:rPr>
          <w:rFonts w:hint="eastAsia" w:ascii="宋体" w:hAnsi="宋体" w:eastAsia="宋体" w:cs="宋体"/>
          <w:b/>
          <w:bCs/>
          <w:color w:val="000000"/>
          <w:sz w:val="28"/>
          <w:szCs w:val="28"/>
        </w:rPr>
        <w:t>编制目的</w:t>
      </w:r>
      <w:bookmarkEnd w:id="3"/>
      <w:bookmarkEnd w:id="4"/>
    </w:p>
    <w:p w14:paraId="2638DC2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为建立健全水环境污染事件应急机制，有效预防和减少突发环境事件的发生，快速、科学地进行突发环境事件的应急处置，全面提高应对</w:t>
      </w:r>
      <w:r>
        <w:rPr>
          <w:rFonts w:hint="eastAsia" w:cs="宋体"/>
          <w:color w:val="auto"/>
          <w:sz w:val="28"/>
          <w:szCs w:val="28"/>
          <w:lang w:val="en-US" w:eastAsia="zh-CN"/>
        </w:rPr>
        <w:t>开州区温泉镇东河温泉供水站水源地</w:t>
      </w:r>
      <w:r>
        <w:rPr>
          <w:rFonts w:hint="eastAsia" w:ascii="宋体" w:hAnsi="宋体" w:eastAsia="宋体" w:cs="宋体"/>
          <w:color w:val="auto"/>
          <w:sz w:val="28"/>
          <w:szCs w:val="28"/>
          <w:lang w:val="en-US" w:eastAsia="zh-CN"/>
        </w:rPr>
        <w:t>突发环境事件的能力，有效应对</w:t>
      </w:r>
      <w:r>
        <w:rPr>
          <w:rFonts w:hint="eastAsia" w:cs="宋体"/>
          <w:color w:val="auto"/>
          <w:sz w:val="28"/>
          <w:szCs w:val="28"/>
          <w:lang w:val="en-US" w:eastAsia="zh-CN"/>
        </w:rPr>
        <w:t>开州区温泉镇东河温泉供水站水源地</w:t>
      </w:r>
      <w:r>
        <w:rPr>
          <w:rFonts w:hint="eastAsia" w:ascii="宋体" w:hAnsi="宋体" w:eastAsia="宋体" w:cs="宋体"/>
          <w:color w:val="auto"/>
          <w:sz w:val="28"/>
          <w:szCs w:val="28"/>
          <w:lang w:val="en-US" w:eastAsia="zh-CN"/>
        </w:rPr>
        <w:t>（以下简称水源地）突发环境事件，最大程度降低突发环境事件对水源地水质影响，规范水源地突发环境事件应对的各项工作，特制定本预案。并为开州区生态环境局及相关部门制定应急预案提供支撑。</w:t>
      </w:r>
    </w:p>
    <w:p w14:paraId="5E46F5B8">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5" w:name="_Toc288137728"/>
      <w:bookmarkStart w:id="6" w:name="_Toc12629"/>
      <w:bookmarkStart w:id="7" w:name="_Toc20628"/>
      <w:r>
        <w:rPr>
          <w:rFonts w:hint="eastAsia" w:ascii="宋体" w:hAnsi="宋体" w:eastAsia="宋体" w:cs="宋体"/>
          <w:b/>
          <w:bCs/>
          <w:color w:val="000000"/>
          <w:sz w:val="28"/>
          <w:szCs w:val="28"/>
        </w:rPr>
        <w:t>1.2</w:t>
      </w:r>
      <w:bookmarkEnd w:id="5"/>
      <w:r>
        <w:rPr>
          <w:rFonts w:hint="eastAsia" w:ascii="宋体" w:hAnsi="宋体" w:eastAsia="宋体" w:cs="宋体"/>
          <w:b/>
          <w:bCs/>
          <w:color w:val="000000"/>
          <w:sz w:val="28"/>
          <w:szCs w:val="28"/>
          <w:lang w:val="en-US" w:eastAsia="zh-CN"/>
        </w:rPr>
        <w:t xml:space="preserve"> </w:t>
      </w:r>
      <w:r>
        <w:rPr>
          <w:rFonts w:hint="eastAsia" w:ascii="宋体" w:hAnsi="宋体" w:eastAsia="宋体" w:cs="宋体"/>
          <w:b/>
          <w:bCs/>
          <w:color w:val="000000"/>
          <w:sz w:val="28"/>
          <w:szCs w:val="28"/>
        </w:rPr>
        <w:t>适用范围</w:t>
      </w:r>
      <w:bookmarkEnd w:id="6"/>
      <w:bookmarkEnd w:id="7"/>
    </w:p>
    <w:p w14:paraId="0EB9974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本预案适用于</w:t>
      </w:r>
      <w:r>
        <w:rPr>
          <w:rFonts w:hint="eastAsia" w:cs="宋体"/>
          <w:color w:val="auto"/>
          <w:sz w:val="28"/>
          <w:szCs w:val="28"/>
          <w:lang w:val="en-US" w:eastAsia="zh-CN"/>
        </w:rPr>
        <w:t>开州区温泉镇东河温泉供水站水源地</w:t>
      </w:r>
      <w:r>
        <w:rPr>
          <w:rFonts w:hint="eastAsia" w:ascii="宋体" w:hAnsi="宋体" w:eastAsia="宋体" w:cs="宋体"/>
          <w:color w:val="auto"/>
          <w:sz w:val="28"/>
          <w:szCs w:val="28"/>
          <w:lang w:val="en-US" w:eastAsia="zh-CN"/>
        </w:rPr>
        <w:t>保护区内环境污染、破坏事件、输水管道、自然灾</w:t>
      </w:r>
      <w:r>
        <w:rPr>
          <w:rFonts w:hint="eastAsia" w:cs="宋体"/>
          <w:color w:val="auto"/>
          <w:sz w:val="28"/>
          <w:szCs w:val="28"/>
          <w:lang w:val="en-US" w:eastAsia="zh-CN"/>
        </w:rPr>
        <w:t>害等</w:t>
      </w:r>
      <w:r>
        <w:rPr>
          <w:rFonts w:hint="eastAsia" w:ascii="宋体" w:hAnsi="宋体" w:eastAsia="宋体" w:cs="宋体"/>
          <w:color w:val="auto"/>
          <w:sz w:val="28"/>
          <w:szCs w:val="28"/>
          <w:lang w:val="en-US" w:eastAsia="zh-CN"/>
        </w:rPr>
        <w:t>造成的危及人体健康的环境事件及其他影响</w:t>
      </w:r>
      <w:r>
        <w:rPr>
          <w:rFonts w:hint="eastAsia" w:cs="宋体"/>
          <w:color w:val="auto"/>
          <w:sz w:val="28"/>
          <w:szCs w:val="28"/>
          <w:lang w:val="en-US" w:eastAsia="zh-CN"/>
        </w:rPr>
        <w:t>开州区温泉镇东河温泉供水站水源地</w:t>
      </w:r>
      <w:r>
        <w:rPr>
          <w:rFonts w:hint="eastAsia" w:ascii="宋体" w:hAnsi="宋体" w:eastAsia="宋体" w:cs="宋体"/>
          <w:color w:val="auto"/>
          <w:sz w:val="28"/>
          <w:szCs w:val="28"/>
          <w:lang w:val="en-US" w:eastAsia="zh-CN"/>
        </w:rPr>
        <w:t>水质的</w:t>
      </w:r>
      <w:r>
        <w:rPr>
          <w:rFonts w:hint="eastAsia" w:cs="宋体"/>
          <w:color w:val="auto"/>
          <w:sz w:val="28"/>
          <w:szCs w:val="28"/>
          <w:lang w:val="en-US" w:eastAsia="zh-CN"/>
        </w:rPr>
        <w:t>其他</w:t>
      </w:r>
      <w:r>
        <w:rPr>
          <w:rFonts w:hint="eastAsia" w:ascii="宋体" w:hAnsi="宋体" w:eastAsia="宋体" w:cs="宋体"/>
          <w:color w:val="auto"/>
          <w:sz w:val="28"/>
          <w:szCs w:val="28"/>
          <w:lang w:val="en-US" w:eastAsia="zh-CN"/>
        </w:rPr>
        <w:t>严重污染事件等重污染事件。</w:t>
      </w:r>
    </w:p>
    <w:p w14:paraId="1432F8B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8" w:name="_Toc29315"/>
      <w:bookmarkStart w:id="9" w:name="_Toc12248"/>
      <w:r>
        <w:rPr>
          <w:rFonts w:hint="eastAsia" w:ascii="宋体" w:hAnsi="宋体" w:eastAsia="宋体" w:cs="宋体"/>
          <w:b/>
          <w:bCs/>
          <w:color w:val="000000"/>
          <w:sz w:val="28"/>
          <w:szCs w:val="28"/>
        </w:rPr>
        <w:t>1.3</w:t>
      </w:r>
      <w:r>
        <w:rPr>
          <w:rFonts w:hint="eastAsia" w:ascii="宋体" w:hAnsi="宋体" w:eastAsia="宋体" w:cs="宋体"/>
          <w:b/>
          <w:bCs/>
          <w:color w:val="000000"/>
          <w:sz w:val="28"/>
          <w:szCs w:val="28"/>
          <w:lang w:val="en-US" w:eastAsia="zh-CN"/>
        </w:rPr>
        <w:t xml:space="preserve"> </w:t>
      </w:r>
      <w:r>
        <w:rPr>
          <w:rFonts w:hint="eastAsia" w:ascii="宋体" w:hAnsi="宋体" w:eastAsia="宋体" w:cs="宋体"/>
          <w:b/>
          <w:bCs/>
          <w:color w:val="000000"/>
          <w:sz w:val="28"/>
          <w:szCs w:val="28"/>
        </w:rPr>
        <w:t>编制依据</w:t>
      </w:r>
      <w:bookmarkEnd w:id="8"/>
      <w:bookmarkEnd w:id="9"/>
    </w:p>
    <w:p w14:paraId="13754B8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《中华人民共和国环境保护法》</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主席令第9号，2015</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w:t>
      </w:r>
    </w:p>
    <w:p w14:paraId="21A59BE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《中华人民共和国水污染防治法》</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主席令第87号，2017年修订版</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w:t>
      </w:r>
    </w:p>
    <w:p w14:paraId="72EB6B1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《中华人民共和国突发事件应对法》</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主席令第25号，2024</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w:t>
      </w:r>
    </w:p>
    <w:p w14:paraId="1C1F991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《国家突发环境事件应急预案》（国办函〔2014〕119号）；</w:t>
      </w:r>
    </w:p>
    <w:p w14:paraId="643B66D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《国务院关于加强环境保护重点工作的意见》（国发〔2011〕35号）；</w:t>
      </w:r>
    </w:p>
    <w:p w14:paraId="76C17E6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《突发事件应急预案管理办法》（国办发〔20</w:t>
      </w:r>
      <w:r>
        <w:rPr>
          <w:rFonts w:hint="eastAsia" w:cs="宋体"/>
          <w:color w:val="auto"/>
          <w:sz w:val="28"/>
          <w:szCs w:val="28"/>
          <w:lang w:val="en-US" w:eastAsia="zh-CN"/>
        </w:rPr>
        <w:t>25</w:t>
      </w:r>
      <w:r>
        <w:rPr>
          <w:rFonts w:hint="eastAsia" w:ascii="宋体" w:hAnsi="宋体" w:eastAsia="宋体" w:cs="宋体"/>
          <w:color w:val="auto"/>
          <w:sz w:val="28"/>
          <w:szCs w:val="28"/>
          <w:lang w:val="en-US" w:eastAsia="zh-CN"/>
        </w:rPr>
        <w:t>〕</w:t>
      </w:r>
      <w:r>
        <w:rPr>
          <w:rFonts w:hint="eastAsia" w:cs="宋体"/>
          <w:color w:val="auto"/>
          <w:sz w:val="28"/>
          <w:szCs w:val="28"/>
          <w:lang w:val="en-US" w:eastAsia="zh-CN"/>
        </w:rPr>
        <w:t>5</w:t>
      </w:r>
      <w:r>
        <w:rPr>
          <w:rFonts w:hint="eastAsia" w:ascii="宋体" w:hAnsi="宋体" w:eastAsia="宋体" w:cs="宋体"/>
          <w:color w:val="auto"/>
          <w:sz w:val="28"/>
          <w:szCs w:val="28"/>
          <w:lang w:val="en-US" w:eastAsia="zh-CN"/>
        </w:rPr>
        <w:t>号）；</w:t>
      </w:r>
    </w:p>
    <w:p w14:paraId="5DB3E8B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《企业事业单位突发环境事件应急预案备案管理办法（试行）》（环发〔2015〕4号）；</w:t>
      </w:r>
    </w:p>
    <w:p w14:paraId="7704DBC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《企业突发环境事件隐患排查和治理工作指南（试行）》（环境保护部公告2016年第74号）；</w:t>
      </w:r>
    </w:p>
    <w:p w14:paraId="79CEB02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《突发环境事件应急监测技术规范》（HJ 589-2010）；</w:t>
      </w:r>
    </w:p>
    <w:p w14:paraId="3E7932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《突发环境事件信息报告办法》（环境保护部令第17号，2011）；</w:t>
      </w:r>
    </w:p>
    <w:p w14:paraId="301F595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《城市供水条例》（中华人民共和国国务院令第158号，1994）；</w:t>
      </w:r>
    </w:p>
    <w:p w14:paraId="108D01A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《城市供水水质管理规定》（中华人民共和国建设部令第156号，2006）；</w:t>
      </w:r>
    </w:p>
    <w:p w14:paraId="0B4360F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《生活饮用水卫生监督管理办法》（中华人民共和国城乡建设部、卫生计生委令第31号，2016）；</w:t>
      </w:r>
    </w:p>
    <w:p w14:paraId="69B30D2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《重庆市环境保护管理条例》（2018年修订）；</w:t>
      </w:r>
    </w:p>
    <w:p w14:paraId="0594B51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《重庆市长江三峡库区流域水污染防治条例》（重庆市人大常委会公告〔2011〕26号）；</w:t>
      </w:r>
    </w:p>
    <w:p w14:paraId="7085C23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《重庆市饮用水源污染防治办法》（重庆市人民政府令第159号，2003）；</w:t>
      </w:r>
    </w:p>
    <w:p w14:paraId="2116DAB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《重庆市城市供水节水管理条例》（重庆市人大常委会公告〔1999〕111号，2012年11月29日修订）；</w:t>
      </w:r>
    </w:p>
    <w:p w14:paraId="053E07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《重庆市村镇供水条例》重庆市人民代表大会常务委员会公告〔2016〕第55号</w:t>
      </w:r>
    </w:p>
    <w:p w14:paraId="52BB3D5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《重庆市突发事件应对条例》（重庆市人大常委会公告〔2012〕9号）；</w:t>
      </w:r>
    </w:p>
    <w:p w14:paraId="066790F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《重庆市人民政府突发公共事件总体应急预案》（2007）；</w:t>
      </w:r>
    </w:p>
    <w:p w14:paraId="7DEE75D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《重庆市人民政府办公厅关于调整万州区等31个区县（自治县）集中式饮用水源保护区的通知》</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府办[2013]40号</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w:t>
      </w:r>
    </w:p>
    <w:p w14:paraId="14E7412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《重庆市政府办公厅关于调整万州区等36个区县（自治县）集中式饮用水水源保护区调整方案》（渝府办[2016]19号）；</w:t>
      </w:r>
    </w:p>
    <w:p w14:paraId="5B7AAB5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《重庆市人民政府办公厅关于印发万州区等区县</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开发区</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集中式饮用水源地保护区划分及调整方案的通知》（渝府办[2018]7号）；</w:t>
      </w:r>
    </w:p>
    <w:p w14:paraId="4D4F328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《突发环境事件应急预案管理暂行办法》（2010）113号印发；</w:t>
      </w:r>
    </w:p>
    <w:p w14:paraId="3B7467B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《重庆市三峡库区流域水环境突发事件应急预案》；</w:t>
      </w:r>
      <w:bookmarkStart w:id="10" w:name="OLE_LINK10"/>
    </w:p>
    <w:p w14:paraId="62FA902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w:t>
      </w:r>
      <w:bookmarkEnd w:id="10"/>
      <w:r>
        <w:rPr>
          <w:rFonts w:hint="eastAsia" w:ascii="宋体" w:hAnsi="宋体" w:eastAsia="宋体" w:cs="宋体"/>
          <w:color w:val="auto"/>
          <w:sz w:val="28"/>
          <w:szCs w:val="28"/>
          <w:lang w:val="en-US" w:eastAsia="zh-CN"/>
        </w:rPr>
        <w:t>开州区突发环境事件应急预案》；</w:t>
      </w:r>
    </w:p>
    <w:p w14:paraId="63D59BA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w:t>
      </w:r>
      <w:bookmarkStart w:id="11" w:name="OLE_LINK40"/>
      <w:r>
        <w:rPr>
          <w:rFonts w:hint="eastAsia" w:ascii="宋体" w:hAnsi="宋体" w:eastAsia="宋体" w:cs="宋体"/>
          <w:color w:val="auto"/>
          <w:sz w:val="28"/>
          <w:szCs w:val="28"/>
          <w:lang w:val="en-US" w:eastAsia="zh-CN"/>
        </w:rPr>
        <w:t>开州区饮用水源地突发环境事件应急预案</w:t>
      </w:r>
      <w:bookmarkEnd w:id="11"/>
      <w:r>
        <w:rPr>
          <w:rFonts w:hint="eastAsia" w:ascii="宋体" w:hAnsi="宋体" w:eastAsia="宋体" w:cs="宋体"/>
          <w:color w:val="auto"/>
          <w:sz w:val="28"/>
          <w:szCs w:val="28"/>
          <w:lang w:val="en-US" w:eastAsia="zh-CN"/>
        </w:rPr>
        <w:t>》；</w:t>
      </w:r>
    </w:p>
    <w:p w14:paraId="2C2196F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《集中式饮用水水源地规范化建设环境保护技术要求》（HJ773）；</w:t>
      </w:r>
    </w:p>
    <w:p w14:paraId="3580046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《集中式饮用水水源地环境保护状况评估技术规范》（HJ774）；</w:t>
      </w:r>
    </w:p>
    <w:p w14:paraId="3FA1BA9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《危险化学品安全管理条例》</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国务院令第645号，2011年修订</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w:t>
      </w:r>
    </w:p>
    <w:p w14:paraId="29F9EA4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《集中式地表水饮用水水源地突发环境事件应急预案编制指南（试行）》（公告2018年第1号）。</w:t>
      </w:r>
    </w:p>
    <w:p w14:paraId="7DA1977A">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rPr>
      </w:pPr>
      <w:bookmarkStart w:id="12" w:name="_Toc386312991"/>
      <w:bookmarkStart w:id="13" w:name="_Toc24657"/>
      <w:bookmarkStart w:id="14" w:name="_Toc13899"/>
      <w:r>
        <w:rPr>
          <w:rFonts w:hint="eastAsia" w:ascii="宋体" w:hAnsi="宋体" w:eastAsia="宋体" w:cs="宋体"/>
          <w:b/>
          <w:bCs/>
          <w:color w:val="000000"/>
          <w:sz w:val="28"/>
          <w:szCs w:val="28"/>
        </w:rPr>
        <w:t>1.</w:t>
      </w:r>
      <w:r>
        <w:rPr>
          <w:rFonts w:hint="eastAsia" w:ascii="宋体" w:hAnsi="宋体" w:eastAsia="宋体" w:cs="宋体"/>
          <w:b/>
          <w:bCs/>
          <w:color w:val="000000"/>
          <w:sz w:val="28"/>
          <w:szCs w:val="28"/>
          <w:lang w:val="en-US" w:eastAsia="zh-CN"/>
        </w:rPr>
        <w:t xml:space="preserve">4 </w:t>
      </w:r>
      <w:r>
        <w:rPr>
          <w:rFonts w:hint="eastAsia" w:ascii="宋体" w:hAnsi="宋体" w:eastAsia="宋体" w:cs="宋体"/>
          <w:b/>
          <w:bCs/>
          <w:color w:val="000000"/>
          <w:sz w:val="28"/>
          <w:szCs w:val="28"/>
        </w:rPr>
        <w:t>工作原则</w:t>
      </w:r>
      <w:bookmarkEnd w:id="12"/>
      <w:bookmarkEnd w:id="13"/>
      <w:bookmarkEnd w:id="14"/>
    </w:p>
    <w:p w14:paraId="3ED188B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cs="宋体"/>
          <w:color w:val="auto"/>
          <w:sz w:val="28"/>
          <w:szCs w:val="28"/>
          <w:lang w:val="en-US" w:eastAsia="zh-CN"/>
        </w:rPr>
        <w:t>开州区温泉镇东河温泉供水站水源地</w:t>
      </w:r>
      <w:r>
        <w:rPr>
          <w:rFonts w:hint="eastAsia" w:ascii="宋体" w:hAnsi="宋体" w:eastAsia="宋体" w:cs="宋体"/>
          <w:color w:val="auto"/>
          <w:sz w:val="28"/>
          <w:szCs w:val="28"/>
          <w:lang w:val="en-US" w:eastAsia="zh-CN"/>
        </w:rPr>
        <w:t>在建立突发性环境污染事件应急系统及其响应程序时，本着实事求是、切实可行的方针，贯彻如下原则：</w:t>
      </w:r>
    </w:p>
    <w:p w14:paraId="26830B7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（1）救人第一、环境优先；</w:t>
      </w:r>
    </w:p>
    <w:p w14:paraId="77CB152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（2）先期处置、防止危害扩大；</w:t>
      </w:r>
    </w:p>
    <w:p w14:paraId="00141CC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（3）快速响应、科学应对；</w:t>
      </w:r>
    </w:p>
    <w:p w14:paraId="4505EA9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（4）应急工作与岗位职责相结合。</w:t>
      </w:r>
    </w:p>
    <w:p w14:paraId="1F6CC92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zh-CN"/>
        </w:rPr>
      </w:pPr>
      <w:bookmarkStart w:id="15" w:name="_Toc23746"/>
      <w:bookmarkStart w:id="16" w:name="_Toc294080711"/>
      <w:bookmarkStart w:id="17" w:name="_Toc295467917"/>
      <w:bookmarkStart w:id="18" w:name="_Toc30184"/>
      <w:bookmarkStart w:id="19" w:name="_Toc14346"/>
      <w:bookmarkStart w:id="20" w:name="_Toc6758"/>
      <w:r>
        <w:rPr>
          <w:rFonts w:hint="eastAsia" w:ascii="宋体" w:hAnsi="宋体" w:eastAsia="宋体" w:cs="宋体"/>
          <w:b/>
          <w:bCs/>
          <w:color w:val="000000"/>
          <w:sz w:val="28"/>
          <w:szCs w:val="28"/>
          <w:lang w:val="zh-CN"/>
        </w:rPr>
        <w:t>1.</w:t>
      </w:r>
      <w:r>
        <w:rPr>
          <w:rFonts w:hint="eastAsia" w:ascii="宋体" w:hAnsi="宋体" w:eastAsia="宋体" w:cs="宋体"/>
          <w:b/>
          <w:bCs/>
          <w:color w:val="000000"/>
          <w:sz w:val="28"/>
          <w:szCs w:val="28"/>
          <w:lang w:val="en-US" w:eastAsia="zh-CN"/>
        </w:rPr>
        <w:t xml:space="preserve">5 </w:t>
      </w:r>
      <w:r>
        <w:rPr>
          <w:rFonts w:hint="eastAsia" w:ascii="宋体" w:hAnsi="宋体" w:eastAsia="宋体" w:cs="宋体"/>
          <w:b/>
          <w:bCs/>
          <w:color w:val="000000"/>
          <w:sz w:val="28"/>
          <w:szCs w:val="28"/>
          <w:lang w:val="zh-CN"/>
        </w:rPr>
        <w:t>应急预案体系</w:t>
      </w:r>
      <w:bookmarkEnd w:id="15"/>
      <w:bookmarkEnd w:id="16"/>
      <w:bookmarkEnd w:id="17"/>
      <w:bookmarkEnd w:id="18"/>
      <w:bookmarkEnd w:id="19"/>
      <w:bookmarkEnd w:id="20"/>
    </w:p>
    <w:p w14:paraId="107836C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本预案为</w:t>
      </w:r>
      <w:r>
        <w:rPr>
          <w:rFonts w:hint="eastAsia" w:cs="宋体"/>
          <w:color w:val="auto"/>
          <w:sz w:val="28"/>
          <w:szCs w:val="28"/>
          <w:lang w:val="en-US" w:eastAsia="zh-CN"/>
        </w:rPr>
        <w:t>开州区温泉镇东河温泉供水站水源地</w:t>
      </w:r>
      <w:r>
        <w:rPr>
          <w:rFonts w:hint="eastAsia" w:ascii="宋体" w:hAnsi="宋体" w:eastAsia="宋体" w:cs="宋体"/>
          <w:color w:val="auto"/>
          <w:sz w:val="28"/>
          <w:szCs w:val="28"/>
          <w:lang w:val="en-US" w:eastAsia="zh-CN"/>
        </w:rPr>
        <w:t>突发环境事件应急预案，该预案与《开州区突发环境事件应急预案》《重庆市开州区集中式饮用水源地突发环境事件应急预案》</w:t>
      </w:r>
      <w:r>
        <w:rPr>
          <w:rFonts w:hint="eastAsia" w:cs="宋体"/>
          <w:color w:val="auto"/>
          <w:sz w:val="28"/>
          <w:szCs w:val="28"/>
          <w:lang w:val="en-US" w:eastAsia="zh-CN"/>
        </w:rPr>
        <w:t>《重庆市开州区温泉镇突发环境事件应急预案》</w:t>
      </w:r>
      <w:r>
        <w:rPr>
          <w:rFonts w:hint="eastAsia" w:ascii="宋体" w:hAnsi="宋体" w:eastAsia="宋体" w:cs="宋体"/>
          <w:color w:val="auto"/>
          <w:sz w:val="28"/>
          <w:szCs w:val="28"/>
          <w:lang w:val="en-US" w:eastAsia="zh-CN"/>
        </w:rPr>
        <w:t>相衔接。</w:t>
      </w:r>
    </w:p>
    <w:p w14:paraId="1FE157F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应急预案体系组成结构见：图1.5-1。</w:t>
      </w:r>
    </w:p>
    <w:p w14:paraId="00DA56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0" w:firstLineChars="0"/>
        <w:jc w:val="center"/>
        <w:textAlignment w:val="auto"/>
        <w:rPr>
          <w:rFonts w:hint="default" w:hAnsi="宋体"/>
          <w:b/>
          <w:bCs/>
          <w:sz w:val="24"/>
          <w:szCs w:val="24"/>
        </w:rPr>
      </w:pPr>
      <w:r>
        <w:rPr>
          <w:rFonts w:hint="eastAsia" w:hAnsi="宋体"/>
          <w:b/>
          <w:bCs/>
          <w:sz w:val="24"/>
          <w:szCs w:val="24"/>
          <w:lang w:val="en-US" w:eastAsia="zh-CN"/>
        </w:rPr>
        <w:drawing>
          <wp:anchor distT="0" distB="0" distL="114300" distR="114300" simplePos="0" relativeHeight="251659264" behindDoc="0" locked="0" layoutInCell="1" allowOverlap="1">
            <wp:simplePos x="0" y="0"/>
            <wp:positionH relativeFrom="column">
              <wp:posOffset>-28575</wp:posOffset>
            </wp:positionH>
            <wp:positionV relativeFrom="paragraph">
              <wp:posOffset>86360</wp:posOffset>
            </wp:positionV>
            <wp:extent cx="5696585" cy="2886710"/>
            <wp:effectExtent l="0" t="0" r="18415" b="8890"/>
            <wp:wrapTopAndBottom/>
            <wp:docPr id="1" name="F360BE8B-6686-4F3D-AEAF-501FE73E4058-1" descr="C:/Users/张龙坤/AppData/Local/Temp/绘图1(5).png绘图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360BE8B-6686-4F3D-AEAF-501FE73E4058-1" descr="C:/Users/张龙坤/AppData/Local/Temp/绘图1(5).png绘图1(5)"/>
                    <pic:cNvPicPr>
                      <a:picLocks noChangeAspect="1"/>
                    </pic:cNvPicPr>
                  </pic:nvPicPr>
                  <pic:blipFill>
                    <a:blip r:embed="rId10"/>
                    <a:stretch>
                      <a:fillRect/>
                    </a:stretch>
                  </pic:blipFill>
                  <pic:spPr>
                    <a:xfrm>
                      <a:off x="0" y="0"/>
                      <a:ext cx="5696712" cy="2886456"/>
                    </a:xfrm>
                    <a:prstGeom prst="rect">
                      <a:avLst/>
                    </a:prstGeom>
                  </pic:spPr>
                </pic:pic>
              </a:graphicData>
            </a:graphic>
          </wp:anchor>
        </w:drawing>
      </w:r>
      <w:r>
        <w:rPr>
          <w:rFonts w:hint="eastAsia" w:hAnsi="宋体"/>
          <w:b/>
          <w:bCs/>
          <w:sz w:val="24"/>
          <w:szCs w:val="24"/>
          <w:lang w:val="en-US" w:eastAsia="zh-CN"/>
        </w:rPr>
        <w:t xml:space="preserve">图1.5-1 </w:t>
      </w:r>
      <w:r>
        <w:rPr>
          <w:rFonts w:hint="default" w:hAnsi="宋体"/>
          <w:b/>
          <w:bCs/>
          <w:sz w:val="24"/>
          <w:szCs w:val="24"/>
        </w:rPr>
        <w:t>预案体系结构图</w:t>
      </w:r>
    </w:p>
    <w:p w14:paraId="5156264F">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1" w:name="_Toc14755"/>
      <w:r>
        <w:rPr>
          <w:rFonts w:hint="eastAsia" w:ascii="宋体" w:hAnsi="宋体" w:eastAsia="宋体" w:cs="宋体"/>
          <w:b/>
          <w:bCs/>
          <w:color w:val="000000"/>
          <w:sz w:val="28"/>
          <w:szCs w:val="28"/>
          <w:lang w:val="en-US" w:eastAsia="zh-CN"/>
        </w:rPr>
        <w:t>1.6 事件分级</w:t>
      </w:r>
      <w:bookmarkEnd w:id="21"/>
    </w:p>
    <w:p w14:paraId="15251C8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按照突发环境事件的严重性和紧急程度，突发环境事件分为特别重大环境事件（Ⅰ级）、重大环境事件（Ⅱ级）、较大环境事件（Ⅲ级）和一般环境事件（Ⅳ级）四级。预警分级颜色依次为红色、橙色、黄色和蓝色。</w:t>
      </w:r>
    </w:p>
    <w:p w14:paraId="2DCA2EB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1.特别重大（Ⅰ级）突发环境事件。</w:t>
      </w:r>
    </w:p>
    <w:p w14:paraId="2416889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凡符合下列情形之一的，为特别重大突发环境事件：</w:t>
      </w:r>
    </w:p>
    <w:p w14:paraId="5D505F6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（1）因突发环境事件，造成主要水源地供水中断，影响居民生活，经济损失1000万元以上。</w:t>
      </w:r>
    </w:p>
    <w:p w14:paraId="597AC71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（2）因突发环境事件造成饮用水源严重污染，导致100人以上中毒。</w:t>
      </w:r>
    </w:p>
    <w:p w14:paraId="1A0E24F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（3）发生大面积水华（藻类数量达到108个/升，区段河长≥10 公里）并造成严重的饮用水源污染的。</w:t>
      </w:r>
    </w:p>
    <w:p w14:paraId="688C2B3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2.重大（Ⅱ级）突发环境事件。</w:t>
      </w:r>
    </w:p>
    <w:p w14:paraId="7D0442B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凡符合下列情形之一的，为重大突发环境事件：</w:t>
      </w:r>
    </w:p>
    <w:p w14:paraId="6B8A522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（1）因突发环境事件，部分水厂供水中断，大面积供水受到影响</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经济损失500万元以上、1000万元以下。</w:t>
      </w:r>
    </w:p>
    <w:p w14:paraId="4093D40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（2）因突发环境事件造成饮用水源严重污染，导致50人以上、100人以下中毒。</w:t>
      </w:r>
    </w:p>
    <w:p w14:paraId="21CE71E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（3）因环境污染造成涪江大面积污染，导致</w:t>
      </w:r>
      <w:bookmarkStart w:id="22" w:name="OLE_LINK11"/>
      <w:r>
        <w:rPr>
          <w:rFonts w:hint="eastAsia" w:ascii="宋体" w:hAnsi="宋体" w:eastAsia="宋体" w:cs="宋体"/>
          <w:color w:val="auto"/>
          <w:sz w:val="28"/>
          <w:szCs w:val="28"/>
          <w:lang w:val="en-US" w:eastAsia="zh-CN"/>
        </w:rPr>
        <w:t>合川城区集中式饮用水源</w:t>
      </w:r>
      <w:bookmarkEnd w:id="22"/>
      <w:r>
        <w:rPr>
          <w:rFonts w:hint="eastAsia" w:ascii="宋体" w:hAnsi="宋体" w:eastAsia="宋体" w:cs="宋体"/>
          <w:color w:val="auto"/>
          <w:sz w:val="28"/>
          <w:szCs w:val="28"/>
          <w:lang w:val="en-US" w:eastAsia="zh-CN"/>
        </w:rPr>
        <w:t>地取水中断的。</w:t>
      </w:r>
    </w:p>
    <w:p w14:paraId="406BC1C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（4）发生大面积水华（藻类数量达到108个/升，区段河长≥6公里）并造成较为严重的饮用水源污染的。</w:t>
      </w:r>
    </w:p>
    <w:p w14:paraId="6894C1E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3.较大（Ⅲ级）突发环境事件。</w:t>
      </w:r>
    </w:p>
    <w:p w14:paraId="230F034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凡符合下列情形之一的，为较大突发环境事件：</w:t>
      </w:r>
    </w:p>
    <w:p w14:paraId="5272270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（1）因突发环境事件，造成暂时性停水，影响部分居民生活，经济损失10万元以上、500万元以下。</w:t>
      </w:r>
    </w:p>
    <w:p w14:paraId="0CDF211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（2）因突发环境事件造成饮用水源严重污染，导致10人以上、50人以下中毒。</w:t>
      </w:r>
    </w:p>
    <w:p w14:paraId="7D28D06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（3）因环境污染造成乡镇饮用水源地取水中断的。</w:t>
      </w:r>
    </w:p>
    <w:p w14:paraId="4CD25C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（4）发生大面积水华（藻类数量达到108个/升，区段河长≥3公里）并造成饮用水源污染的。</w:t>
      </w:r>
    </w:p>
    <w:p w14:paraId="76D131C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4.一般（Ⅳ级）突发环境事件。</w:t>
      </w:r>
    </w:p>
    <w:p w14:paraId="342426B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（1）因饮用水源污染造成直接经济损失10万元以下的； </w:t>
      </w:r>
    </w:p>
    <w:p w14:paraId="55AC741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（2）因饮用水源污染直接导致10人以下中毒的；</w:t>
      </w:r>
    </w:p>
    <w:p w14:paraId="1BCF72F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（3）因环境污染造成</w:t>
      </w:r>
      <w:bookmarkStart w:id="23" w:name="OLE_LINK12"/>
      <w:r>
        <w:rPr>
          <w:rFonts w:hint="eastAsia" w:ascii="宋体" w:hAnsi="宋体" w:eastAsia="宋体" w:cs="宋体"/>
          <w:color w:val="auto"/>
          <w:sz w:val="28"/>
          <w:szCs w:val="28"/>
          <w:lang w:val="en-US" w:eastAsia="zh-CN"/>
        </w:rPr>
        <w:t>村、社集中式饮用水源地</w:t>
      </w:r>
      <w:bookmarkEnd w:id="23"/>
      <w:r>
        <w:rPr>
          <w:rFonts w:hint="eastAsia" w:ascii="宋体" w:hAnsi="宋体" w:eastAsia="宋体" w:cs="宋体"/>
          <w:color w:val="auto"/>
          <w:sz w:val="28"/>
          <w:szCs w:val="28"/>
          <w:lang w:val="en-US" w:eastAsia="zh-CN"/>
        </w:rPr>
        <w:t>取水中断的；</w:t>
      </w:r>
    </w:p>
    <w:p w14:paraId="2938D35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sectPr>
          <w:pgSz w:w="11906" w:h="16838"/>
          <w:pgMar w:top="1440" w:right="1800" w:bottom="1440" w:left="1800" w:header="851" w:footer="992" w:gutter="0"/>
          <w:pgNumType w:start="1"/>
          <w:cols w:space="720" w:num="1"/>
          <w:rtlGutter w:val="0"/>
          <w:docGrid w:type="lines" w:linePitch="312" w:charSpace="0"/>
        </w:sectPr>
      </w:pPr>
      <w:r>
        <w:rPr>
          <w:rFonts w:hint="eastAsia" w:ascii="宋体" w:hAnsi="宋体" w:eastAsia="宋体" w:cs="宋体"/>
          <w:color w:val="auto"/>
          <w:sz w:val="28"/>
          <w:szCs w:val="28"/>
          <w:lang w:val="en-US" w:eastAsia="zh-CN"/>
        </w:rPr>
        <w:t>（4）发生大面积水华（藻类数量达到 108个/升，区段河长＜3公里）并造成饮用水源污染的。</w:t>
      </w:r>
    </w:p>
    <w:p w14:paraId="4538A89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宋体" w:hAnsi="宋体" w:eastAsia="宋体" w:cs="宋体"/>
          <w:b/>
          <w:bCs/>
          <w:color w:val="auto"/>
          <w:kern w:val="2"/>
          <w:sz w:val="32"/>
          <w:szCs w:val="32"/>
          <w:lang w:val="en-US" w:eastAsia="zh-CN" w:bidi="ar-SA"/>
        </w:rPr>
      </w:pPr>
      <w:bookmarkStart w:id="24" w:name="_Toc27083"/>
      <w:bookmarkStart w:id="25" w:name="_Toc3575"/>
      <w:r>
        <w:rPr>
          <w:rFonts w:hint="eastAsia" w:ascii="宋体" w:hAnsi="宋体" w:eastAsia="宋体" w:cs="宋体"/>
          <w:b/>
          <w:bCs/>
          <w:color w:val="auto"/>
          <w:kern w:val="2"/>
          <w:sz w:val="32"/>
          <w:szCs w:val="32"/>
          <w:lang w:val="en-US" w:eastAsia="zh-CN" w:bidi="ar-SA"/>
        </w:rPr>
        <w:t>2 开州区温泉镇东河温泉供水站水源地基础信息</w:t>
      </w:r>
      <w:bookmarkEnd w:id="24"/>
      <w:bookmarkEnd w:id="25"/>
    </w:p>
    <w:p w14:paraId="3D9D62F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6" w:name="_Toc32095"/>
      <w:bookmarkStart w:id="27" w:name="_Toc27473"/>
      <w:bookmarkStart w:id="28" w:name="_Toc11400"/>
      <w:r>
        <w:rPr>
          <w:rFonts w:hint="eastAsia" w:ascii="宋体" w:hAnsi="宋体" w:eastAsia="宋体" w:cs="宋体"/>
          <w:b/>
          <w:bCs/>
          <w:color w:val="000000"/>
          <w:sz w:val="28"/>
          <w:szCs w:val="28"/>
          <w:lang w:val="en-US" w:eastAsia="zh-CN"/>
        </w:rPr>
        <w:t>2.1 开州区温泉镇东河温泉供水站水源地基础信息</w:t>
      </w:r>
      <w:bookmarkEnd w:id="26"/>
      <w:bookmarkEnd w:id="27"/>
      <w:bookmarkEnd w:id="28"/>
    </w:p>
    <w:p w14:paraId="39F1A11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开州区温泉镇东河温泉供水站水源地属于河流型水源，水源代码为FB7300500154106S0001，取水点</w:t>
      </w:r>
      <w:r>
        <w:rPr>
          <w:rFonts w:hint="eastAsia" w:cs="宋体"/>
          <w:color w:val="auto"/>
          <w:sz w:val="28"/>
          <w:szCs w:val="28"/>
          <w:lang w:val="en-US" w:eastAsia="zh-CN"/>
        </w:rPr>
        <w:t>东经</w:t>
      </w:r>
      <w:r>
        <w:rPr>
          <w:rFonts w:hint="eastAsia" w:ascii="宋体" w:hAnsi="宋体" w:eastAsia="宋体" w:cs="宋体"/>
          <w:color w:val="auto"/>
          <w:sz w:val="28"/>
          <w:szCs w:val="28"/>
          <w:lang w:val="en-US" w:eastAsia="zh-CN"/>
        </w:rPr>
        <w:t>108°30′51″，北纬31°22′13″，服务人口2.5万人，服务范围为温泉镇及周边村，设计供水量1200m3/d；开州区温泉镇东河温泉场镇集中供水工程水源地属于河流型水源，2020年正式划定为乡镇集中式饮用水水源地，水源代码为FB7300500154106S0002，取水点东经108°28′50″，北纬31°23′54″，服务人口2.5万人，设计供水量1500m3/d。</w:t>
      </w:r>
    </w:p>
    <w:p w14:paraId="4E1DCE2D">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29" w:name="_Toc21294"/>
      <w:r>
        <w:rPr>
          <w:rFonts w:hint="eastAsia" w:ascii="宋体" w:hAnsi="宋体" w:eastAsia="宋体" w:cs="宋体"/>
          <w:b/>
          <w:bCs/>
          <w:color w:val="000000"/>
          <w:sz w:val="28"/>
          <w:szCs w:val="28"/>
          <w:lang w:val="en-US" w:eastAsia="zh-CN"/>
        </w:rPr>
        <w:t>2.2 饮用水源地保护区划分情况简介</w:t>
      </w:r>
      <w:bookmarkEnd w:id="29"/>
    </w:p>
    <w:p w14:paraId="0EAD793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2018年5月根据重庆市人民政府办公厅《关于调整万州等区县（开发区）集中式</w:t>
      </w:r>
      <w:r>
        <w:rPr>
          <w:rFonts w:hint="eastAsia" w:cs="宋体"/>
          <w:color w:val="auto"/>
          <w:sz w:val="28"/>
          <w:szCs w:val="28"/>
          <w:lang w:val="en-US" w:eastAsia="zh-CN"/>
        </w:rPr>
        <w:t>饮用</w:t>
      </w:r>
      <w:r>
        <w:rPr>
          <w:rFonts w:hint="eastAsia" w:ascii="宋体" w:hAnsi="宋体" w:eastAsia="宋体" w:cs="宋体"/>
          <w:color w:val="auto"/>
          <w:sz w:val="28"/>
          <w:szCs w:val="28"/>
          <w:lang w:val="en-US" w:eastAsia="zh-CN"/>
        </w:rPr>
        <w:t>水源地保护区划分及调整方案的通知》（渝府办[2018]7号）要求，对饮用水厂水源地进行了调整，调整后的情况见表2.2-1。</w:t>
      </w:r>
    </w:p>
    <w:p w14:paraId="285786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表2.2-1 </w:t>
      </w:r>
      <w:r>
        <w:rPr>
          <w:rFonts w:hint="eastAsia" w:asciiTheme="minorEastAsia" w:hAnsiTheme="minorEastAsia" w:eastAsiaTheme="minorEastAsia" w:cstheme="minorEastAsia"/>
          <w:b/>
          <w:bCs/>
          <w:sz w:val="24"/>
          <w:szCs w:val="24"/>
          <w:lang w:eastAsia="zh-CN"/>
        </w:rPr>
        <w:t>开州区温泉镇东河温泉供水站水源地调整情况表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5"/>
        <w:gridCol w:w="889"/>
        <w:gridCol w:w="475"/>
        <w:gridCol w:w="475"/>
        <w:gridCol w:w="615"/>
        <w:gridCol w:w="449"/>
        <w:gridCol w:w="496"/>
        <w:gridCol w:w="1042"/>
        <w:gridCol w:w="1551"/>
        <w:gridCol w:w="1239"/>
        <w:gridCol w:w="1552"/>
      </w:tblGrid>
      <w:tr w14:paraId="4D83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Merge w:val="restart"/>
            <w:noWrap w:val="0"/>
            <w:tcMar>
              <w:top w:w="15" w:type="dxa"/>
              <w:left w:w="15" w:type="dxa"/>
              <w:bottom w:w="15" w:type="dxa"/>
              <w:right w:w="15" w:type="dxa"/>
            </w:tcMar>
            <w:vAlign w:val="center"/>
          </w:tcPr>
          <w:p w14:paraId="0806C59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0" w:type="auto"/>
            <w:vMerge w:val="restart"/>
            <w:noWrap w:val="0"/>
            <w:tcMar>
              <w:top w:w="15" w:type="dxa"/>
              <w:left w:w="15" w:type="dxa"/>
              <w:bottom w:w="15" w:type="dxa"/>
              <w:right w:w="15" w:type="dxa"/>
            </w:tcMar>
            <w:vAlign w:val="center"/>
          </w:tcPr>
          <w:p w14:paraId="2D3B619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饮用水源地名称</w:t>
            </w:r>
          </w:p>
        </w:tc>
        <w:tc>
          <w:tcPr>
            <w:tcW w:w="0" w:type="auto"/>
            <w:vMerge w:val="restart"/>
            <w:noWrap w:val="0"/>
            <w:tcMar>
              <w:top w:w="15" w:type="dxa"/>
              <w:left w:w="15" w:type="dxa"/>
              <w:bottom w:w="15" w:type="dxa"/>
              <w:right w:w="15" w:type="dxa"/>
            </w:tcMar>
            <w:vAlign w:val="center"/>
          </w:tcPr>
          <w:p w14:paraId="77E38F1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水源名称</w:t>
            </w:r>
          </w:p>
        </w:tc>
        <w:tc>
          <w:tcPr>
            <w:tcW w:w="0" w:type="auto"/>
            <w:vMerge w:val="restart"/>
            <w:noWrap w:val="0"/>
            <w:tcMar>
              <w:top w:w="15" w:type="dxa"/>
              <w:left w:w="15" w:type="dxa"/>
              <w:bottom w:w="15" w:type="dxa"/>
              <w:right w:w="15" w:type="dxa"/>
            </w:tcMar>
            <w:vAlign w:val="center"/>
          </w:tcPr>
          <w:p w14:paraId="579DC69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水源类型</w:t>
            </w:r>
          </w:p>
        </w:tc>
        <w:tc>
          <w:tcPr>
            <w:tcW w:w="0" w:type="auto"/>
            <w:vMerge w:val="restart"/>
            <w:noWrap w:val="0"/>
            <w:tcMar>
              <w:top w:w="15" w:type="dxa"/>
              <w:left w:w="15" w:type="dxa"/>
              <w:bottom w:w="15" w:type="dxa"/>
              <w:right w:w="15" w:type="dxa"/>
            </w:tcMar>
            <w:vAlign w:val="center"/>
          </w:tcPr>
          <w:p w14:paraId="5A9FAD0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水源所在镇（街道）</w:t>
            </w:r>
          </w:p>
        </w:tc>
        <w:tc>
          <w:tcPr>
            <w:tcW w:w="0" w:type="auto"/>
            <w:vMerge w:val="restart"/>
            <w:noWrap w:val="0"/>
            <w:tcMar>
              <w:top w:w="15" w:type="dxa"/>
              <w:left w:w="15" w:type="dxa"/>
              <w:bottom w:w="15" w:type="dxa"/>
              <w:right w:w="15" w:type="dxa"/>
            </w:tcMar>
            <w:vAlign w:val="center"/>
          </w:tcPr>
          <w:p w14:paraId="45F2ADE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使用</w:t>
            </w:r>
          </w:p>
          <w:p w14:paraId="38044C2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状态</w:t>
            </w:r>
          </w:p>
        </w:tc>
        <w:tc>
          <w:tcPr>
            <w:tcW w:w="0" w:type="auto"/>
            <w:vMerge w:val="restart"/>
            <w:noWrap w:val="0"/>
            <w:tcMar>
              <w:top w:w="15" w:type="dxa"/>
              <w:left w:w="15" w:type="dxa"/>
              <w:bottom w:w="15" w:type="dxa"/>
              <w:right w:w="15" w:type="dxa"/>
            </w:tcMar>
            <w:vAlign w:val="center"/>
          </w:tcPr>
          <w:p w14:paraId="06E1833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管理单位</w:t>
            </w:r>
          </w:p>
        </w:tc>
        <w:tc>
          <w:tcPr>
            <w:tcW w:w="0" w:type="auto"/>
            <w:gridSpan w:val="4"/>
            <w:noWrap w:val="0"/>
            <w:tcMar>
              <w:top w:w="15" w:type="dxa"/>
              <w:left w:w="15" w:type="dxa"/>
              <w:bottom w:w="15" w:type="dxa"/>
              <w:right w:w="15" w:type="dxa"/>
            </w:tcMar>
            <w:vAlign w:val="center"/>
          </w:tcPr>
          <w:p w14:paraId="7EECB58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保护区划分范围</w:t>
            </w:r>
          </w:p>
        </w:tc>
      </w:tr>
      <w:tr w14:paraId="325D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Merge w:val="continue"/>
            <w:noWrap w:val="0"/>
            <w:tcMar>
              <w:top w:w="15" w:type="dxa"/>
              <w:left w:w="15" w:type="dxa"/>
              <w:bottom w:w="15" w:type="dxa"/>
              <w:right w:w="15" w:type="dxa"/>
            </w:tcMar>
            <w:vAlign w:val="center"/>
          </w:tcPr>
          <w:p w14:paraId="696491A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2801A1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481F188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1EC25F2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071ED5F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5489F7D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203DB76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gridSpan w:val="2"/>
            <w:noWrap w:val="0"/>
            <w:tcMar>
              <w:top w:w="15" w:type="dxa"/>
              <w:left w:w="15" w:type="dxa"/>
              <w:bottom w:w="15" w:type="dxa"/>
              <w:right w:w="15" w:type="dxa"/>
            </w:tcMar>
            <w:vAlign w:val="center"/>
          </w:tcPr>
          <w:p w14:paraId="3A04A63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一级保护区</w:t>
            </w:r>
          </w:p>
        </w:tc>
        <w:tc>
          <w:tcPr>
            <w:tcW w:w="0" w:type="auto"/>
            <w:gridSpan w:val="2"/>
            <w:noWrap w:val="0"/>
            <w:tcMar>
              <w:top w:w="15" w:type="dxa"/>
              <w:left w:w="15" w:type="dxa"/>
              <w:bottom w:w="15" w:type="dxa"/>
              <w:right w:w="15" w:type="dxa"/>
            </w:tcMar>
            <w:vAlign w:val="center"/>
          </w:tcPr>
          <w:p w14:paraId="7F634EC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二级保护区</w:t>
            </w:r>
          </w:p>
        </w:tc>
      </w:tr>
      <w:tr w14:paraId="4C16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Merge w:val="continue"/>
            <w:noWrap w:val="0"/>
            <w:tcMar>
              <w:top w:w="15" w:type="dxa"/>
              <w:left w:w="15" w:type="dxa"/>
              <w:bottom w:w="15" w:type="dxa"/>
              <w:right w:w="15" w:type="dxa"/>
            </w:tcMar>
            <w:vAlign w:val="center"/>
          </w:tcPr>
          <w:p w14:paraId="5CED48E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70AD159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56756D5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7C80347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742911D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21517DA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vMerge w:val="continue"/>
            <w:noWrap w:val="0"/>
            <w:tcMar>
              <w:top w:w="15" w:type="dxa"/>
              <w:left w:w="15" w:type="dxa"/>
              <w:bottom w:w="15" w:type="dxa"/>
              <w:right w:w="15" w:type="dxa"/>
            </w:tcMar>
            <w:vAlign w:val="center"/>
          </w:tcPr>
          <w:p w14:paraId="02AC215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p>
        </w:tc>
        <w:tc>
          <w:tcPr>
            <w:tcW w:w="0" w:type="auto"/>
            <w:noWrap w:val="0"/>
            <w:tcMar>
              <w:top w:w="15" w:type="dxa"/>
              <w:left w:w="15" w:type="dxa"/>
              <w:bottom w:w="15" w:type="dxa"/>
              <w:right w:w="15" w:type="dxa"/>
            </w:tcMar>
            <w:vAlign w:val="center"/>
          </w:tcPr>
          <w:p w14:paraId="7F7563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水域范围</w:t>
            </w:r>
          </w:p>
        </w:tc>
        <w:tc>
          <w:tcPr>
            <w:tcW w:w="0" w:type="auto"/>
            <w:noWrap w:val="0"/>
            <w:tcMar>
              <w:top w:w="15" w:type="dxa"/>
              <w:left w:w="15" w:type="dxa"/>
              <w:bottom w:w="15" w:type="dxa"/>
              <w:right w:w="15" w:type="dxa"/>
            </w:tcMar>
            <w:vAlign w:val="center"/>
          </w:tcPr>
          <w:p w14:paraId="0DE7464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陆域范围</w:t>
            </w:r>
          </w:p>
        </w:tc>
        <w:tc>
          <w:tcPr>
            <w:tcW w:w="0" w:type="auto"/>
            <w:noWrap w:val="0"/>
            <w:tcMar>
              <w:top w:w="15" w:type="dxa"/>
              <w:left w:w="15" w:type="dxa"/>
              <w:bottom w:w="15" w:type="dxa"/>
              <w:right w:w="15" w:type="dxa"/>
            </w:tcMar>
            <w:vAlign w:val="center"/>
          </w:tcPr>
          <w:p w14:paraId="77143E5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水域范围</w:t>
            </w:r>
          </w:p>
        </w:tc>
        <w:tc>
          <w:tcPr>
            <w:tcW w:w="0" w:type="auto"/>
            <w:noWrap w:val="0"/>
            <w:tcMar>
              <w:top w:w="15" w:type="dxa"/>
              <w:left w:w="15" w:type="dxa"/>
              <w:bottom w:w="15" w:type="dxa"/>
              <w:right w:w="15" w:type="dxa"/>
            </w:tcMar>
            <w:vAlign w:val="center"/>
          </w:tcPr>
          <w:p w14:paraId="3C96612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陆域范围</w:t>
            </w:r>
          </w:p>
        </w:tc>
      </w:tr>
      <w:tr w14:paraId="1415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noWrap w:val="0"/>
            <w:tcMar>
              <w:top w:w="15" w:type="dxa"/>
              <w:left w:w="15" w:type="dxa"/>
              <w:bottom w:w="15" w:type="dxa"/>
              <w:right w:w="15" w:type="dxa"/>
            </w:tcMar>
            <w:vAlign w:val="center"/>
          </w:tcPr>
          <w:p w14:paraId="25342A6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0" w:type="auto"/>
            <w:shd w:val="clear" w:color="auto" w:fill="auto"/>
            <w:noWrap w:val="0"/>
            <w:tcMar>
              <w:top w:w="15" w:type="dxa"/>
              <w:left w:w="15" w:type="dxa"/>
              <w:bottom w:w="15" w:type="dxa"/>
              <w:right w:w="15" w:type="dxa"/>
            </w:tcMar>
            <w:vAlign w:val="center"/>
          </w:tcPr>
          <w:p w14:paraId="226FB27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开州区温泉镇东河温泉供水站水源地</w:t>
            </w:r>
          </w:p>
        </w:tc>
        <w:tc>
          <w:tcPr>
            <w:tcW w:w="0" w:type="auto"/>
            <w:shd w:val="clear" w:color="auto" w:fill="auto"/>
            <w:noWrap w:val="0"/>
            <w:tcMar>
              <w:top w:w="15" w:type="dxa"/>
              <w:left w:w="15" w:type="dxa"/>
              <w:bottom w:w="15" w:type="dxa"/>
              <w:right w:w="15" w:type="dxa"/>
            </w:tcMar>
            <w:vAlign w:val="center"/>
          </w:tcPr>
          <w:p w14:paraId="321892A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东河</w:t>
            </w:r>
          </w:p>
        </w:tc>
        <w:tc>
          <w:tcPr>
            <w:tcW w:w="0" w:type="auto"/>
            <w:shd w:val="clear" w:color="auto" w:fill="auto"/>
            <w:noWrap w:val="0"/>
            <w:tcMar>
              <w:top w:w="15" w:type="dxa"/>
              <w:left w:w="15" w:type="dxa"/>
              <w:bottom w:w="15" w:type="dxa"/>
              <w:right w:w="15" w:type="dxa"/>
            </w:tcMar>
            <w:vAlign w:val="center"/>
          </w:tcPr>
          <w:p w14:paraId="5BF0FB3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河流型</w:t>
            </w:r>
          </w:p>
        </w:tc>
        <w:tc>
          <w:tcPr>
            <w:tcW w:w="0" w:type="auto"/>
            <w:shd w:val="clear" w:color="auto" w:fill="auto"/>
            <w:noWrap w:val="0"/>
            <w:tcMar>
              <w:top w:w="15" w:type="dxa"/>
              <w:left w:w="15" w:type="dxa"/>
              <w:bottom w:w="15" w:type="dxa"/>
              <w:right w:w="15" w:type="dxa"/>
            </w:tcMar>
            <w:vAlign w:val="center"/>
          </w:tcPr>
          <w:p w14:paraId="1A14B5F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温泉镇</w:t>
            </w:r>
          </w:p>
        </w:tc>
        <w:tc>
          <w:tcPr>
            <w:tcW w:w="0" w:type="auto"/>
            <w:shd w:val="clear" w:color="auto" w:fill="auto"/>
            <w:noWrap w:val="0"/>
            <w:tcMar>
              <w:top w:w="15" w:type="dxa"/>
              <w:left w:w="15" w:type="dxa"/>
              <w:bottom w:w="15" w:type="dxa"/>
              <w:right w:w="15" w:type="dxa"/>
            </w:tcMar>
            <w:vAlign w:val="center"/>
          </w:tcPr>
          <w:p w14:paraId="33969D4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正常</w:t>
            </w:r>
          </w:p>
        </w:tc>
        <w:tc>
          <w:tcPr>
            <w:tcW w:w="0" w:type="auto"/>
            <w:shd w:val="clear" w:color="auto" w:fill="auto"/>
            <w:noWrap w:val="0"/>
            <w:tcMar>
              <w:top w:w="15" w:type="dxa"/>
              <w:left w:w="15" w:type="dxa"/>
              <w:bottom w:w="15" w:type="dxa"/>
              <w:right w:w="15" w:type="dxa"/>
            </w:tcMar>
            <w:vAlign w:val="center"/>
          </w:tcPr>
          <w:p w14:paraId="3B71D6E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温泉水厂</w:t>
            </w:r>
          </w:p>
        </w:tc>
        <w:tc>
          <w:tcPr>
            <w:tcW w:w="0" w:type="auto"/>
            <w:shd w:val="clear" w:color="auto" w:fill="auto"/>
            <w:noWrap w:val="0"/>
            <w:tcMar>
              <w:top w:w="15" w:type="dxa"/>
              <w:left w:w="15" w:type="dxa"/>
              <w:bottom w:w="15" w:type="dxa"/>
              <w:right w:w="15" w:type="dxa"/>
            </w:tcMar>
            <w:vAlign w:val="center"/>
          </w:tcPr>
          <w:p w14:paraId="5163D02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取水口上游1000米至下游100米的整个水域</w:t>
            </w:r>
          </w:p>
        </w:tc>
        <w:tc>
          <w:tcPr>
            <w:tcW w:w="0" w:type="auto"/>
            <w:shd w:val="clear" w:color="auto" w:fill="auto"/>
            <w:noWrap w:val="0"/>
            <w:tcMar>
              <w:top w:w="15" w:type="dxa"/>
              <w:left w:w="15" w:type="dxa"/>
              <w:bottom w:w="15" w:type="dxa"/>
              <w:right w:w="15" w:type="dxa"/>
            </w:tcMar>
            <w:vAlign w:val="center"/>
          </w:tcPr>
          <w:p w14:paraId="32251D9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30年一遇洪水位至正常水位范围内的陆域，陆域沿岸长度与一级保护区水域长度相同</w:t>
            </w:r>
          </w:p>
        </w:tc>
        <w:tc>
          <w:tcPr>
            <w:tcW w:w="0" w:type="auto"/>
            <w:shd w:val="clear" w:color="auto" w:fill="auto"/>
            <w:noWrap w:val="0"/>
            <w:tcMar>
              <w:top w:w="15" w:type="dxa"/>
              <w:left w:w="15" w:type="dxa"/>
              <w:bottom w:w="15" w:type="dxa"/>
              <w:right w:w="15" w:type="dxa"/>
            </w:tcMar>
            <w:vAlign w:val="center"/>
          </w:tcPr>
          <w:p w14:paraId="6B176D9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取水口上游1000米至2000米，下游100米至200米的整个水域</w:t>
            </w:r>
          </w:p>
        </w:tc>
        <w:tc>
          <w:tcPr>
            <w:tcW w:w="0" w:type="auto"/>
            <w:shd w:val="clear" w:color="auto" w:fill="auto"/>
            <w:noWrap w:val="0"/>
            <w:tcMar>
              <w:top w:w="15" w:type="dxa"/>
              <w:left w:w="15" w:type="dxa"/>
              <w:bottom w:w="15" w:type="dxa"/>
              <w:right w:w="15" w:type="dxa"/>
            </w:tcMar>
            <w:vAlign w:val="center"/>
          </w:tcPr>
          <w:p w14:paraId="50CDD5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30年一遇洪水位至正常水位范围内的陆域，陆域沿岸长度与二级保护区水域长度相同</w:t>
            </w:r>
          </w:p>
        </w:tc>
      </w:tr>
      <w:tr w14:paraId="07F9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Align w:val="center"/>
          </w:tcPr>
          <w:p w14:paraId="37363AE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0" w:type="auto"/>
            <w:shd w:val="clear" w:color="auto" w:fill="auto"/>
            <w:vAlign w:val="center"/>
          </w:tcPr>
          <w:p w14:paraId="0FA4142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开州区温泉镇东河温泉场镇集中供水工程水源地</w:t>
            </w:r>
          </w:p>
        </w:tc>
        <w:tc>
          <w:tcPr>
            <w:tcW w:w="0" w:type="auto"/>
            <w:shd w:val="clear" w:color="auto" w:fill="auto"/>
            <w:vAlign w:val="center"/>
          </w:tcPr>
          <w:p w14:paraId="0003860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东河</w:t>
            </w:r>
          </w:p>
        </w:tc>
        <w:tc>
          <w:tcPr>
            <w:tcW w:w="0" w:type="auto"/>
            <w:shd w:val="clear" w:color="auto" w:fill="auto"/>
            <w:vAlign w:val="center"/>
          </w:tcPr>
          <w:p w14:paraId="0442B74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河流型</w:t>
            </w:r>
          </w:p>
        </w:tc>
        <w:tc>
          <w:tcPr>
            <w:tcW w:w="0" w:type="auto"/>
            <w:shd w:val="clear" w:color="auto" w:fill="auto"/>
            <w:vAlign w:val="center"/>
          </w:tcPr>
          <w:p w14:paraId="59EC3A7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温泉镇</w:t>
            </w:r>
          </w:p>
        </w:tc>
        <w:tc>
          <w:tcPr>
            <w:tcW w:w="0" w:type="auto"/>
            <w:shd w:val="clear" w:color="auto" w:fill="auto"/>
            <w:vAlign w:val="center"/>
          </w:tcPr>
          <w:p w14:paraId="6BF2E84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正常</w:t>
            </w:r>
          </w:p>
        </w:tc>
        <w:tc>
          <w:tcPr>
            <w:tcW w:w="0" w:type="auto"/>
            <w:shd w:val="clear" w:color="auto" w:fill="auto"/>
            <w:vAlign w:val="center"/>
          </w:tcPr>
          <w:p w14:paraId="2F56B7E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温泉水厂</w:t>
            </w:r>
          </w:p>
        </w:tc>
        <w:tc>
          <w:tcPr>
            <w:tcW w:w="0" w:type="auto"/>
            <w:shd w:val="clear" w:color="auto" w:fill="auto"/>
            <w:vAlign w:val="center"/>
          </w:tcPr>
          <w:p w14:paraId="4729C6B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取水口上游1000米至下游100米的整个水域</w:t>
            </w:r>
          </w:p>
        </w:tc>
        <w:tc>
          <w:tcPr>
            <w:tcW w:w="0" w:type="auto"/>
            <w:shd w:val="clear" w:color="auto" w:fill="auto"/>
            <w:vAlign w:val="center"/>
          </w:tcPr>
          <w:p w14:paraId="09FA631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河道两侧30年一遇洪水位至正常水位范围内的陆域，陆域沿岸长度与一级保护区水域长度相同</w:t>
            </w:r>
          </w:p>
        </w:tc>
        <w:tc>
          <w:tcPr>
            <w:tcW w:w="0" w:type="auto"/>
            <w:shd w:val="clear" w:color="auto" w:fill="auto"/>
            <w:vAlign w:val="center"/>
          </w:tcPr>
          <w:p w14:paraId="15ACB34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取水口上游1000米至3000米，下游100米至300米的整个水域</w:t>
            </w:r>
          </w:p>
        </w:tc>
        <w:tc>
          <w:tcPr>
            <w:tcW w:w="0" w:type="auto"/>
            <w:shd w:val="clear" w:color="auto" w:fill="auto"/>
            <w:vAlign w:val="center"/>
          </w:tcPr>
          <w:p w14:paraId="4EE1E0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河道两侧30年一遇洪水位至正常水位范围内的陆域，陆域沿岸长度与二级保护区水域长度相同</w:t>
            </w:r>
          </w:p>
        </w:tc>
      </w:tr>
    </w:tbl>
    <w:p w14:paraId="1C600E24">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eastAsia" w:ascii="宋体" w:hAnsi="宋体" w:eastAsia="宋体" w:cs="宋体"/>
          <w:b/>
          <w:bCs/>
          <w:color w:val="auto"/>
          <w:kern w:val="2"/>
          <w:sz w:val="32"/>
          <w:szCs w:val="32"/>
          <w:lang w:val="en-US" w:eastAsia="zh-CN" w:bidi="ar-SA"/>
        </w:rPr>
      </w:pPr>
      <w:bookmarkStart w:id="30" w:name="_Toc12038"/>
      <w:r>
        <w:rPr>
          <w:rFonts w:hint="eastAsia" w:ascii="宋体" w:hAnsi="宋体" w:eastAsia="宋体" w:cs="宋体"/>
          <w:b/>
          <w:bCs/>
          <w:color w:val="auto"/>
          <w:kern w:val="2"/>
          <w:sz w:val="32"/>
          <w:szCs w:val="32"/>
          <w:lang w:val="en-US" w:eastAsia="zh-CN" w:bidi="ar-SA"/>
        </w:rPr>
        <w:t>2.3 饮用水水源地规范化建设现状调查</w:t>
      </w:r>
      <w:bookmarkEnd w:id="30"/>
    </w:p>
    <w:p w14:paraId="44E13C8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（1）保护区标志、隔离防护设置情况</w:t>
      </w:r>
    </w:p>
    <w:p w14:paraId="50124AA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开州区温泉镇东河温泉供水站水源地已根据《饮用水水源保护区标志技术要求（HJ／T_433-2008）》的要求设置一级、二级保护区边界标志牌；隔离防护栏等。</w:t>
      </w:r>
    </w:p>
    <w:p w14:paraId="293B58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表 2.3-1 温泉镇水源地保护区标志、隔离防护措施 </w:t>
      </w:r>
    </w:p>
    <w:tbl>
      <w:tblPr>
        <w:tblStyle w:val="1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1554"/>
        <w:gridCol w:w="5846"/>
      </w:tblGrid>
      <w:tr w14:paraId="0CCD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2658" w:type="dxa"/>
            <w:gridSpan w:val="2"/>
            <w:noWrap w:val="0"/>
            <w:vAlign w:val="center"/>
          </w:tcPr>
          <w:p w14:paraId="268490E1">
            <w:pPr>
              <w:bidi w:val="0"/>
              <w:jc w:val="center"/>
              <w:rPr>
                <w:rFonts w:hint="eastAsia"/>
                <w:b/>
                <w:bCs/>
                <w:lang w:val="en-US" w:eastAsia="zh-CN"/>
              </w:rPr>
            </w:pPr>
            <w:r>
              <w:rPr>
                <w:rFonts w:hint="eastAsia"/>
                <w:b/>
                <w:bCs/>
                <w:lang w:val="en-US" w:eastAsia="zh-CN"/>
              </w:rPr>
              <w:t>水源地</w:t>
            </w:r>
          </w:p>
        </w:tc>
        <w:tc>
          <w:tcPr>
            <w:tcW w:w="5846" w:type="dxa"/>
            <w:noWrap w:val="0"/>
            <w:vAlign w:val="center"/>
          </w:tcPr>
          <w:p w14:paraId="16D46A91">
            <w:pPr>
              <w:bidi w:val="0"/>
              <w:jc w:val="center"/>
              <w:rPr>
                <w:rFonts w:hint="default"/>
                <w:b/>
                <w:bCs/>
                <w:lang w:val="en-US"/>
              </w:rPr>
            </w:pPr>
            <w:r>
              <w:rPr>
                <w:rFonts w:hint="eastAsia"/>
                <w:b/>
                <w:bCs/>
                <w:lang w:val="en-US" w:eastAsia="zh-CN"/>
              </w:rPr>
              <w:t>保护区</w:t>
            </w:r>
            <w:r>
              <w:rPr>
                <w:rFonts w:hint="eastAsia"/>
                <w:b/>
                <w:bCs/>
              </w:rPr>
              <w:t>标志、隔离防护</w:t>
            </w:r>
            <w:r>
              <w:rPr>
                <w:rFonts w:hint="eastAsia"/>
                <w:b/>
                <w:bCs/>
                <w:lang w:val="en-US" w:eastAsia="zh-CN"/>
              </w:rPr>
              <w:t>措施照片</w:t>
            </w:r>
          </w:p>
        </w:tc>
      </w:tr>
      <w:tr w14:paraId="5826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6" w:hRule="atLeast"/>
          <w:tblHeader/>
          <w:jc w:val="center"/>
        </w:trPr>
        <w:tc>
          <w:tcPr>
            <w:tcW w:w="1104" w:type="dxa"/>
            <w:vMerge w:val="restart"/>
            <w:noWrap w:val="0"/>
            <w:vAlign w:val="center"/>
          </w:tcPr>
          <w:p w14:paraId="0E662C80">
            <w:pPr>
              <w:bidi w:val="0"/>
              <w:rPr>
                <w:rFonts w:hint="default"/>
                <w:lang w:val="en-US" w:eastAsia="zh-CN"/>
              </w:rPr>
            </w:pPr>
            <w:r>
              <w:rPr>
                <w:rFonts w:hint="eastAsia"/>
                <w:lang w:val="en-US" w:eastAsia="zh-CN"/>
              </w:rPr>
              <w:t>开州区温泉镇东河温泉供水站水源地</w:t>
            </w:r>
          </w:p>
        </w:tc>
        <w:tc>
          <w:tcPr>
            <w:tcW w:w="1554" w:type="dxa"/>
            <w:noWrap w:val="0"/>
            <w:vAlign w:val="center"/>
          </w:tcPr>
          <w:p w14:paraId="2EA9E2E2">
            <w:pPr>
              <w:bidi w:val="0"/>
              <w:rPr>
                <w:rFonts w:hint="eastAsia"/>
                <w:lang w:val="en-US" w:eastAsia="zh-CN"/>
              </w:rPr>
            </w:pPr>
            <w:r>
              <w:rPr>
                <w:rFonts w:hint="eastAsia"/>
                <w:lang w:val="en-US" w:eastAsia="zh-CN"/>
              </w:rPr>
              <w:t>一级保护区标识</w:t>
            </w:r>
          </w:p>
        </w:tc>
        <w:tc>
          <w:tcPr>
            <w:tcW w:w="5846" w:type="dxa"/>
            <w:noWrap w:val="0"/>
            <w:vAlign w:val="center"/>
          </w:tcPr>
          <w:p w14:paraId="7D28A486">
            <w:pPr>
              <w:bidi w:val="0"/>
              <w:rPr>
                <w:rFonts w:hint="eastAsia"/>
                <w:lang w:val="en-US" w:eastAsia="zh-CN"/>
              </w:rPr>
            </w:pPr>
            <w:r>
              <w:rPr>
                <w:rFonts w:hint="eastAsia"/>
                <w:lang w:val="en-US" w:eastAsia="zh-CN"/>
              </w:rPr>
              <w:drawing>
                <wp:anchor distT="0" distB="0" distL="114300" distR="114300" simplePos="0" relativeHeight="251661312" behindDoc="0" locked="0" layoutInCell="1" allowOverlap="1">
                  <wp:simplePos x="0" y="0"/>
                  <wp:positionH relativeFrom="column">
                    <wp:posOffset>79375</wp:posOffset>
                  </wp:positionH>
                  <wp:positionV relativeFrom="paragraph">
                    <wp:posOffset>-6350</wp:posOffset>
                  </wp:positionV>
                  <wp:extent cx="3456305" cy="3402330"/>
                  <wp:effectExtent l="0" t="0" r="10795" b="7620"/>
                  <wp:wrapTopAndBottom/>
                  <wp:docPr id="6" name="图片 6" descr="IMG_20251011_10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51011_103013"/>
                          <pic:cNvPicPr>
                            <a:picLocks noChangeAspect="1"/>
                          </pic:cNvPicPr>
                        </pic:nvPicPr>
                        <pic:blipFill>
                          <a:blip r:embed="rId11"/>
                          <a:stretch>
                            <a:fillRect/>
                          </a:stretch>
                        </pic:blipFill>
                        <pic:spPr>
                          <a:xfrm>
                            <a:off x="0" y="0"/>
                            <a:ext cx="3456305" cy="3402330"/>
                          </a:xfrm>
                          <a:prstGeom prst="rect">
                            <a:avLst/>
                          </a:prstGeom>
                        </pic:spPr>
                      </pic:pic>
                    </a:graphicData>
                  </a:graphic>
                </wp:anchor>
              </w:drawing>
            </w:r>
          </w:p>
        </w:tc>
      </w:tr>
      <w:tr w14:paraId="6A28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tblHeader/>
          <w:jc w:val="center"/>
        </w:trPr>
        <w:tc>
          <w:tcPr>
            <w:tcW w:w="1104" w:type="dxa"/>
            <w:vMerge w:val="continue"/>
            <w:noWrap w:val="0"/>
            <w:vAlign w:val="center"/>
          </w:tcPr>
          <w:p w14:paraId="7BB5A1E7">
            <w:pPr>
              <w:bidi w:val="0"/>
              <w:rPr>
                <w:rFonts w:hint="default"/>
                <w:lang w:val="en-US" w:eastAsia="zh-CN"/>
              </w:rPr>
            </w:pPr>
          </w:p>
        </w:tc>
        <w:tc>
          <w:tcPr>
            <w:tcW w:w="1554" w:type="dxa"/>
            <w:noWrap w:val="0"/>
            <w:vAlign w:val="center"/>
          </w:tcPr>
          <w:p w14:paraId="43DC4C37">
            <w:pPr>
              <w:bidi w:val="0"/>
              <w:rPr>
                <w:rFonts w:hint="default"/>
                <w:lang w:val="en-US" w:eastAsia="zh-CN"/>
              </w:rPr>
            </w:pPr>
            <w:r>
              <w:rPr>
                <w:rFonts w:hint="eastAsia"/>
                <w:lang w:val="en-US" w:eastAsia="zh-CN"/>
              </w:rPr>
              <w:t>取水口标识</w:t>
            </w:r>
          </w:p>
        </w:tc>
        <w:tc>
          <w:tcPr>
            <w:tcW w:w="5846" w:type="dxa"/>
            <w:noWrap w:val="0"/>
            <w:vAlign w:val="center"/>
          </w:tcPr>
          <w:p w14:paraId="3348D0C9">
            <w:pPr>
              <w:bidi w:val="0"/>
              <w:rPr>
                <w:rFonts w:hint="eastAsia"/>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9525</wp:posOffset>
                  </wp:positionH>
                  <wp:positionV relativeFrom="paragraph">
                    <wp:posOffset>146050</wp:posOffset>
                  </wp:positionV>
                  <wp:extent cx="3566160" cy="2674620"/>
                  <wp:effectExtent l="0" t="0" r="15240" b="11430"/>
                  <wp:wrapTopAndBottom/>
                  <wp:docPr id="7" name="图片 7" descr="IMG_20251011_10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51011_103132"/>
                          <pic:cNvPicPr>
                            <a:picLocks noChangeAspect="1"/>
                          </pic:cNvPicPr>
                        </pic:nvPicPr>
                        <pic:blipFill>
                          <a:blip r:embed="rId12"/>
                          <a:stretch>
                            <a:fillRect/>
                          </a:stretch>
                        </pic:blipFill>
                        <pic:spPr>
                          <a:xfrm>
                            <a:off x="0" y="0"/>
                            <a:ext cx="3566160" cy="2674620"/>
                          </a:xfrm>
                          <a:prstGeom prst="rect">
                            <a:avLst/>
                          </a:prstGeom>
                        </pic:spPr>
                      </pic:pic>
                    </a:graphicData>
                  </a:graphic>
                </wp:anchor>
              </w:drawing>
            </w:r>
          </w:p>
        </w:tc>
      </w:tr>
      <w:tr w14:paraId="7B28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vMerge w:val="continue"/>
            <w:noWrap w:val="0"/>
            <w:vAlign w:val="center"/>
          </w:tcPr>
          <w:p w14:paraId="074BD34F">
            <w:pPr>
              <w:bidi w:val="0"/>
              <w:rPr>
                <w:rFonts w:hint="eastAsia"/>
                <w:lang w:val="en-US" w:eastAsia="zh-CN"/>
              </w:rPr>
            </w:pPr>
          </w:p>
        </w:tc>
        <w:tc>
          <w:tcPr>
            <w:tcW w:w="1554" w:type="dxa"/>
            <w:noWrap w:val="0"/>
            <w:vAlign w:val="center"/>
          </w:tcPr>
          <w:p w14:paraId="15B0005A">
            <w:pPr>
              <w:bidi w:val="0"/>
              <w:rPr>
                <w:rFonts w:hint="default"/>
                <w:lang w:val="en-US" w:eastAsia="zh-CN"/>
              </w:rPr>
            </w:pPr>
            <w:r>
              <w:rPr>
                <w:rFonts w:hint="eastAsia"/>
                <w:lang w:val="en-US" w:eastAsia="zh-CN"/>
              </w:rPr>
              <w:t>取水口位置</w:t>
            </w:r>
          </w:p>
        </w:tc>
        <w:tc>
          <w:tcPr>
            <w:tcW w:w="5846" w:type="dxa"/>
            <w:noWrap w:val="0"/>
            <w:vAlign w:val="center"/>
          </w:tcPr>
          <w:p w14:paraId="34670EB9">
            <w:pPr>
              <w:bidi w:val="0"/>
              <w:rPr>
                <w:rFonts w:hint="eastAsia"/>
                <w:lang w:val="en-US" w:eastAsia="zh-CN"/>
              </w:rPr>
            </w:pPr>
            <w:r>
              <w:rPr>
                <w:rFonts w:hint="eastAsia"/>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88900</wp:posOffset>
                  </wp:positionV>
                  <wp:extent cx="3569970" cy="3569335"/>
                  <wp:effectExtent l="0" t="0" r="11430" b="12065"/>
                  <wp:wrapTopAndBottom/>
                  <wp:docPr id="8" name="图片 8" descr="IMG_20251011_10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51011_104250"/>
                          <pic:cNvPicPr>
                            <a:picLocks noChangeAspect="1"/>
                          </pic:cNvPicPr>
                        </pic:nvPicPr>
                        <pic:blipFill>
                          <a:blip r:embed="rId13"/>
                          <a:stretch>
                            <a:fillRect/>
                          </a:stretch>
                        </pic:blipFill>
                        <pic:spPr>
                          <a:xfrm>
                            <a:off x="0" y="0"/>
                            <a:ext cx="3569970" cy="3569335"/>
                          </a:xfrm>
                          <a:prstGeom prst="rect">
                            <a:avLst/>
                          </a:prstGeom>
                        </pic:spPr>
                      </pic:pic>
                    </a:graphicData>
                  </a:graphic>
                </wp:anchor>
              </w:drawing>
            </w:r>
          </w:p>
        </w:tc>
      </w:tr>
      <w:tr w14:paraId="15CF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noWrap w:val="0"/>
            <w:vAlign w:val="center"/>
          </w:tcPr>
          <w:p w14:paraId="35B3EC28">
            <w:pPr>
              <w:bidi w:val="0"/>
              <w:rPr>
                <w:rFonts w:hint="eastAsia"/>
                <w:lang w:val="en-US" w:eastAsia="zh-CN"/>
              </w:rPr>
            </w:pPr>
            <w:r>
              <w:rPr>
                <w:rFonts w:hint="eastAsia"/>
                <w:lang w:val="en-US" w:eastAsia="zh-CN"/>
              </w:rPr>
              <w:t>开州区温泉镇东河温泉供水站水源地</w:t>
            </w:r>
          </w:p>
        </w:tc>
        <w:tc>
          <w:tcPr>
            <w:tcW w:w="1554" w:type="dxa"/>
            <w:noWrap w:val="0"/>
            <w:vAlign w:val="center"/>
          </w:tcPr>
          <w:p w14:paraId="1316C06D">
            <w:pPr>
              <w:bidi w:val="0"/>
              <w:rPr>
                <w:rFonts w:hint="default"/>
                <w:lang w:val="en-US" w:eastAsia="zh-CN"/>
              </w:rPr>
            </w:pPr>
            <w:r>
              <w:rPr>
                <w:rFonts w:hint="eastAsia"/>
                <w:lang w:val="en-US" w:eastAsia="zh-CN"/>
              </w:rPr>
              <w:t>取水点监控摄像头</w:t>
            </w:r>
          </w:p>
        </w:tc>
        <w:tc>
          <w:tcPr>
            <w:tcW w:w="5846" w:type="dxa"/>
            <w:noWrap w:val="0"/>
            <w:vAlign w:val="center"/>
          </w:tcPr>
          <w:p w14:paraId="0B0579FB">
            <w:pPr>
              <w:bidi w:val="0"/>
              <w:rPr>
                <w:rFonts w:hint="eastAsia"/>
                <w:lang w:val="en-US" w:eastAsia="zh-CN"/>
              </w:rPr>
            </w:pPr>
            <w:r>
              <w:rPr>
                <w:rFonts w:hint="eastAsia"/>
                <w:lang w:val="en-US" w:eastAsia="zh-CN"/>
              </w:rPr>
              <w:drawing>
                <wp:anchor distT="0" distB="0" distL="114300" distR="114300" simplePos="0" relativeHeight="251663360" behindDoc="0" locked="0" layoutInCell="1" allowOverlap="1">
                  <wp:simplePos x="0" y="0"/>
                  <wp:positionH relativeFrom="column">
                    <wp:posOffset>-28575</wp:posOffset>
                  </wp:positionH>
                  <wp:positionV relativeFrom="paragraph">
                    <wp:posOffset>98425</wp:posOffset>
                  </wp:positionV>
                  <wp:extent cx="3566160" cy="4431665"/>
                  <wp:effectExtent l="0" t="0" r="15240" b="6985"/>
                  <wp:wrapTopAndBottom/>
                  <wp:docPr id="9" name="图片 9" descr="IMG_20251011_10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51011_103144"/>
                          <pic:cNvPicPr>
                            <a:picLocks noChangeAspect="1"/>
                          </pic:cNvPicPr>
                        </pic:nvPicPr>
                        <pic:blipFill>
                          <a:blip r:embed="rId14"/>
                          <a:stretch>
                            <a:fillRect/>
                          </a:stretch>
                        </pic:blipFill>
                        <pic:spPr>
                          <a:xfrm>
                            <a:off x="0" y="0"/>
                            <a:ext cx="3566160" cy="4431665"/>
                          </a:xfrm>
                          <a:prstGeom prst="rect">
                            <a:avLst/>
                          </a:prstGeom>
                        </pic:spPr>
                      </pic:pic>
                    </a:graphicData>
                  </a:graphic>
                </wp:anchor>
              </w:drawing>
            </w:r>
          </w:p>
        </w:tc>
      </w:tr>
      <w:tr w14:paraId="189A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tblHeader/>
          <w:jc w:val="center"/>
        </w:trPr>
        <w:tc>
          <w:tcPr>
            <w:tcW w:w="1104" w:type="dxa"/>
            <w:noWrap w:val="0"/>
            <w:vAlign w:val="center"/>
          </w:tcPr>
          <w:p w14:paraId="016A1CDB">
            <w:pPr>
              <w:bidi w:val="0"/>
              <w:rPr>
                <w:rFonts w:hint="eastAsia"/>
                <w:lang w:val="en-US" w:eastAsia="zh-CN"/>
              </w:rPr>
            </w:pPr>
          </w:p>
        </w:tc>
        <w:tc>
          <w:tcPr>
            <w:tcW w:w="1554" w:type="dxa"/>
            <w:noWrap w:val="0"/>
            <w:vAlign w:val="center"/>
          </w:tcPr>
          <w:p w14:paraId="6B1ED47D">
            <w:pPr>
              <w:bidi w:val="0"/>
              <w:rPr>
                <w:rFonts w:hint="default"/>
                <w:lang w:val="en-US" w:eastAsia="zh-CN"/>
              </w:rPr>
            </w:pPr>
            <w:r>
              <w:rPr>
                <w:rFonts w:hint="eastAsia"/>
                <w:lang w:val="en-US" w:eastAsia="zh-CN"/>
              </w:rPr>
              <w:t>饮用水保护范围示意图</w:t>
            </w:r>
          </w:p>
        </w:tc>
        <w:tc>
          <w:tcPr>
            <w:tcW w:w="5846" w:type="dxa"/>
            <w:noWrap w:val="0"/>
            <w:vAlign w:val="center"/>
          </w:tcPr>
          <w:p w14:paraId="4772B9FF">
            <w:pPr>
              <w:bidi w:val="0"/>
              <w:rPr>
                <w:rFonts w:hint="eastAsia"/>
                <w:lang w:eastAsia="zh-CN"/>
              </w:rPr>
            </w:pPr>
            <w:r>
              <w:rPr>
                <w:rFonts w:hint="eastAsia"/>
                <w:lang w:eastAsia="zh-CN"/>
              </w:rPr>
              <w:drawing>
                <wp:anchor distT="0" distB="0" distL="114300" distR="114300" simplePos="0" relativeHeight="251664384" behindDoc="0" locked="0" layoutInCell="1" allowOverlap="1">
                  <wp:simplePos x="0" y="0"/>
                  <wp:positionH relativeFrom="column">
                    <wp:posOffset>0</wp:posOffset>
                  </wp:positionH>
                  <wp:positionV relativeFrom="paragraph">
                    <wp:posOffset>-3245485</wp:posOffset>
                  </wp:positionV>
                  <wp:extent cx="3569970" cy="4759960"/>
                  <wp:effectExtent l="0" t="0" r="11430" b="2540"/>
                  <wp:wrapTopAndBottom/>
                  <wp:docPr id="10" name="图片 10" descr="IMG_20251011_10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51011_103605"/>
                          <pic:cNvPicPr>
                            <a:picLocks noChangeAspect="1"/>
                          </pic:cNvPicPr>
                        </pic:nvPicPr>
                        <pic:blipFill>
                          <a:blip r:embed="rId15"/>
                          <a:stretch>
                            <a:fillRect/>
                          </a:stretch>
                        </pic:blipFill>
                        <pic:spPr>
                          <a:xfrm>
                            <a:off x="0" y="0"/>
                            <a:ext cx="3569970" cy="4759960"/>
                          </a:xfrm>
                          <a:prstGeom prst="rect">
                            <a:avLst/>
                          </a:prstGeom>
                        </pic:spPr>
                      </pic:pic>
                    </a:graphicData>
                  </a:graphic>
                </wp:anchor>
              </w:drawing>
            </w:r>
          </w:p>
        </w:tc>
      </w:tr>
    </w:tbl>
    <w:p w14:paraId="492AB38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（2）饮用水源地保护区重点保护工程情况</w:t>
      </w:r>
    </w:p>
    <w:p w14:paraId="5A4EFE4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1）保护区标志、隔离防护设置情况</w:t>
      </w:r>
    </w:p>
    <w:p w14:paraId="469B7E8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温泉镇东河温泉供水站水源地、开州区温泉镇东河温泉场镇集中供水工程水源地已根据《饮用水水源保护区标志技术要求（HJ／T_433-2008）》的要求设置一级、二级保护区边界界标、界桩等。设置道路警示牌；在水源地周边均设置保护区宣传牌，水源地人为活动较少，有部分可利用的天然地形地貌隔离，并设置明显的具有保护性功能的隔离防护措施。开州区温泉镇东河温泉供水站水源地、开州区温泉镇东河温泉场镇集中供水工程水源地取水口都位于山脚，人员不易靠近。2020年，开州区温泉镇东河温泉场镇集中供水工程水源地投入运营，相关边界界标，道路警示牌，保护区宣传牌等将进一步完善。</w:t>
      </w:r>
    </w:p>
    <w:p w14:paraId="6B8C34E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2）监控能力建设情况</w:t>
      </w:r>
    </w:p>
    <w:p w14:paraId="78211DC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根据现场调查，水源地</w:t>
      </w:r>
      <w:r>
        <w:rPr>
          <w:rFonts w:hint="eastAsia" w:cs="宋体"/>
          <w:color w:val="auto"/>
          <w:sz w:val="28"/>
          <w:szCs w:val="28"/>
          <w:lang w:val="en-US" w:eastAsia="zh-CN"/>
        </w:rPr>
        <w:t>下游</w:t>
      </w:r>
      <w:r>
        <w:rPr>
          <w:rFonts w:hint="eastAsia" w:ascii="宋体" w:hAnsi="宋体" w:eastAsia="宋体" w:cs="宋体"/>
          <w:color w:val="auto"/>
          <w:sz w:val="28"/>
          <w:szCs w:val="28"/>
          <w:lang w:val="en-US" w:eastAsia="zh-CN"/>
        </w:rPr>
        <w:t>设置有监测断面，由重庆市开州区生态环境监测中心对设置断面水质进行定期监测。</w:t>
      </w:r>
    </w:p>
    <w:p w14:paraId="61EB63C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根据现场调查，水源地在取水口处设置有视频监控。</w:t>
      </w:r>
    </w:p>
    <w:p w14:paraId="06AF636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3）风险防控与应急能力建设情况</w:t>
      </w:r>
    </w:p>
    <w:p w14:paraId="5EF772E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①风险识别与防范</w:t>
      </w:r>
    </w:p>
    <w:p w14:paraId="0C4F92C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开州区温泉镇东河温泉供水站水源地、开州区温泉镇东河温泉场镇集中供水工程水源地上游及周边存在风险源，主要包括农村居民生活、农田灌溉、家禽养殖等，水源地尚未建立风险源名录和危险化学品运输管理制度。</w:t>
      </w:r>
    </w:p>
    <w:p w14:paraId="7FD17B1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②应急能力</w:t>
      </w:r>
    </w:p>
    <w:p w14:paraId="2D552C0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据调查了解，开州区温泉镇东河温泉供水站水源地、开州区温泉镇东河温泉场镇集中供水工程水源地已具备应急预案、救济物资、技术储备、应急防护工程设施、应急专家队伍等相应应急能力。</w:t>
      </w:r>
    </w:p>
    <w:p w14:paraId="524C993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4）水源地一源一档建设</w:t>
      </w:r>
    </w:p>
    <w:p w14:paraId="144CCC8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据调查了解，该水源地已进行资料汇编，建立《重庆市开州区温泉水厂饮用水水源地一源一档》。</w:t>
      </w:r>
    </w:p>
    <w:p w14:paraId="08A8D0F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汇编资料如下表所示。</w:t>
      </w:r>
      <w:bookmarkStart w:id="31" w:name="_Ref524336654"/>
    </w:p>
    <w:p w14:paraId="6C3FDDE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表</w:t>
      </w:r>
      <w:bookmarkEnd w:id="31"/>
      <w:r>
        <w:rPr>
          <w:rFonts w:hint="eastAsia" w:ascii="宋体" w:hAnsi="宋体" w:eastAsia="宋体" w:cs="宋体"/>
          <w:color w:val="auto"/>
          <w:sz w:val="28"/>
          <w:szCs w:val="28"/>
          <w:lang w:val="en-US" w:eastAsia="zh-CN"/>
        </w:rPr>
        <w:t xml:space="preserve"> 2.3-2 开州区温泉镇东河温泉供水站水源地一源一档资料</w:t>
      </w:r>
    </w:p>
    <w:tbl>
      <w:tblPr>
        <w:tblStyle w:val="14"/>
        <w:tblW w:w="850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95"/>
        <w:gridCol w:w="5429"/>
        <w:gridCol w:w="2380"/>
      </w:tblGrid>
      <w:tr w14:paraId="26C2F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0" w:type="dxa"/>
            <w:noWrap w:val="0"/>
            <w:vAlign w:val="center"/>
          </w:tcPr>
          <w:p w14:paraId="7EF7AA3D">
            <w:pPr>
              <w:bidi w:val="0"/>
            </w:pPr>
            <w:r>
              <w:t>序号</w:t>
            </w:r>
          </w:p>
        </w:tc>
        <w:tc>
          <w:tcPr>
            <w:tcW w:w="5596" w:type="dxa"/>
            <w:noWrap w:val="0"/>
            <w:vAlign w:val="center"/>
          </w:tcPr>
          <w:p w14:paraId="173C6C2B">
            <w:pPr>
              <w:bidi w:val="0"/>
            </w:pPr>
            <w:r>
              <w:t>文件材料题名</w:t>
            </w:r>
          </w:p>
        </w:tc>
        <w:tc>
          <w:tcPr>
            <w:tcW w:w="2449" w:type="dxa"/>
            <w:noWrap w:val="0"/>
            <w:vAlign w:val="center"/>
          </w:tcPr>
          <w:p w14:paraId="16FAC2D2">
            <w:pPr>
              <w:bidi w:val="0"/>
            </w:pPr>
            <w:r>
              <w:t>备注</w:t>
            </w:r>
          </w:p>
        </w:tc>
      </w:tr>
      <w:tr w14:paraId="6DDF3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2BAFBFDA">
            <w:pPr>
              <w:bidi w:val="0"/>
            </w:pPr>
            <w:r>
              <w:t>1</w:t>
            </w:r>
          </w:p>
        </w:tc>
        <w:tc>
          <w:tcPr>
            <w:tcW w:w="5596" w:type="dxa"/>
            <w:noWrap w:val="0"/>
            <w:vAlign w:val="center"/>
          </w:tcPr>
          <w:p w14:paraId="0FD8B9F8">
            <w:pPr>
              <w:bidi w:val="0"/>
            </w:pPr>
            <w:r>
              <w:t>《重庆市人民政府办公厅关于调整万州区等36个区县（自治县）集中式饮用水水源保护区的通知》</w:t>
            </w:r>
          </w:p>
        </w:tc>
        <w:tc>
          <w:tcPr>
            <w:tcW w:w="2449" w:type="dxa"/>
            <w:noWrap w:val="0"/>
            <w:vAlign w:val="center"/>
          </w:tcPr>
          <w:p w14:paraId="0685D354">
            <w:pPr>
              <w:bidi w:val="0"/>
            </w:pPr>
            <w:r>
              <w:t>渝府办[2016]19号</w:t>
            </w:r>
          </w:p>
        </w:tc>
      </w:tr>
      <w:tr w14:paraId="1E8E9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247B1677">
            <w:pPr>
              <w:bidi w:val="0"/>
            </w:pPr>
            <w:r>
              <w:t>2</w:t>
            </w:r>
          </w:p>
        </w:tc>
        <w:tc>
          <w:tcPr>
            <w:tcW w:w="5596" w:type="dxa"/>
            <w:noWrap w:val="0"/>
            <w:vAlign w:val="center"/>
          </w:tcPr>
          <w:p w14:paraId="49E93EDD">
            <w:pPr>
              <w:bidi w:val="0"/>
            </w:pPr>
            <w:r>
              <w:t>《</w:t>
            </w:r>
            <w:r>
              <w:rPr>
                <w:rFonts w:hint="eastAsia"/>
              </w:rPr>
              <w:t>重庆市人民政府办公厅关于 印发万州区等区县（开发区）集中式饮用水水源地保护区划分及调整方案的通知</w:t>
            </w:r>
            <w:r>
              <w:t>》</w:t>
            </w:r>
          </w:p>
        </w:tc>
        <w:tc>
          <w:tcPr>
            <w:tcW w:w="2449" w:type="dxa"/>
            <w:noWrap w:val="0"/>
            <w:vAlign w:val="center"/>
          </w:tcPr>
          <w:p w14:paraId="729614AD">
            <w:pPr>
              <w:bidi w:val="0"/>
            </w:pPr>
            <w:r>
              <w:rPr>
                <w:rFonts w:hint="eastAsia"/>
              </w:rPr>
              <w:t>渝府办[2018]7号</w:t>
            </w:r>
          </w:p>
        </w:tc>
      </w:tr>
      <w:tr w14:paraId="02951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65580C8C">
            <w:pPr>
              <w:bidi w:val="0"/>
            </w:pPr>
            <w:r>
              <w:t>3</w:t>
            </w:r>
          </w:p>
        </w:tc>
        <w:tc>
          <w:tcPr>
            <w:tcW w:w="5596" w:type="dxa"/>
            <w:noWrap w:val="0"/>
            <w:vAlign w:val="center"/>
          </w:tcPr>
          <w:p w14:paraId="4620F38C">
            <w:pPr>
              <w:bidi w:val="0"/>
            </w:pPr>
            <w:r>
              <w:rPr>
                <w:rFonts w:hint="eastAsia"/>
              </w:rPr>
              <w:t>《重庆市开州区环境保护局关于进一步加强乡镇集中式饮用水水源地管理的通知》</w:t>
            </w:r>
          </w:p>
        </w:tc>
        <w:tc>
          <w:tcPr>
            <w:tcW w:w="2449" w:type="dxa"/>
            <w:noWrap w:val="0"/>
            <w:vAlign w:val="center"/>
          </w:tcPr>
          <w:p w14:paraId="3E1BAB4D">
            <w:pPr>
              <w:bidi w:val="0"/>
            </w:pPr>
            <w:r>
              <w:t>开州环发〔2017〕75号</w:t>
            </w:r>
          </w:p>
        </w:tc>
      </w:tr>
      <w:tr w14:paraId="7EB83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63A4CBEC">
            <w:pPr>
              <w:bidi w:val="0"/>
            </w:pPr>
            <w:r>
              <w:t>4</w:t>
            </w:r>
          </w:p>
        </w:tc>
        <w:tc>
          <w:tcPr>
            <w:tcW w:w="5596" w:type="dxa"/>
            <w:noWrap w:val="0"/>
            <w:vAlign w:val="center"/>
          </w:tcPr>
          <w:p w14:paraId="42D3E3EB">
            <w:pPr>
              <w:bidi w:val="0"/>
            </w:pPr>
            <w:r>
              <w:t>重庆市</w:t>
            </w:r>
            <w:r>
              <w:rPr>
                <w:rFonts w:hint="eastAsia"/>
                <w:lang w:eastAsia="zh-CN"/>
              </w:rPr>
              <w:t>开州区温泉镇东河温泉供水站水源地标识</w:t>
            </w:r>
            <w:r>
              <w:t>标牌相关情况</w:t>
            </w:r>
          </w:p>
        </w:tc>
        <w:tc>
          <w:tcPr>
            <w:tcW w:w="2449" w:type="dxa"/>
            <w:noWrap w:val="0"/>
            <w:vAlign w:val="center"/>
          </w:tcPr>
          <w:p w14:paraId="7F52F0E3">
            <w:pPr>
              <w:bidi w:val="0"/>
            </w:pPr>
            <w:r>
              <w:t>标示标牌</w:t>
            </w:r>
          </w:p>
        </w:tc>
      </w:tr>
      <w:tr w14:paraId="3A149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4A217C2C">
            <w:pPr>
              <w:bidi w:val="0"/>
            </w:pPr>
            <w:r>
              <w:t>5</w:t>
            </w:r>
          </w:p>
        </w:tc>
        <w:tc>
          <w:tcPr>
            <w:tcW w:w="5596" w:type="dxa"/>
            <w:noWrap w:val="0"/>
            <w:vAlign w:val="center"/>
          </w:tcPr>
          <w:p w14:paraId="3F14ED69">
            <w:pPr>
              <w:bidi w:val="0"/>
            </w:pPr>
            <w:r>
              <w:rPr>
                <w:rFonts w:hint="eastAsia"/>
                <w:lang w:eastAsia="zh-CN"/>
              </w:rPr>
              <w:t>温泉镇</w:t>
            </w:r>
            <w:r>
              <w:t>饮用水源保护区巡查记录表</w:t>
            </w:r>
          </w:p>
        </w:tc>
        <w:tc>
          <w:tcPr>
            <w:tcW w:w="2449" w:type="dxa"/>
            <w:noWrap w:val="0"/>
            <w:vAlign w:val="center"/>
          </w:tcPr>
          <w:p w14:paraId="3BC7B12A">
            <w:pPr>
              <w:bidi w:val="0"/>
            </w:pPr>
            <w:r>
              <w:rPr>
                <w:rFonts w:hint="eastAsia"/>
                <w:lang w:eastAsia="zh-CN"/>
              </w:rPr>
              <w:t>温泉镇</w:t>
            </w:r>
            <w:r>
              <w:rPr>
                <w:rFonts w:hint="eastAsia"/>
              </w:rPr>
              <w:t>政府</w:t>
            </w:r>
          </w:p>
        </w:tc>
      </w:tr>
      <w:tr w14:paraId="23B9C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00F1A2DF">
            <w:pPr>
              <w:bidi w:val="0"/>
            </w:pPr>
            <w:r>
              <w:t>6</w:t>
            </w:r>
          </w:p>
        </w:tc>
        <w:tc>
          <w:tcPr>
            <w:tcW w:w="5596" w:type="dxa"/>
            <w:noWrap w:val="0"/>
            <w:vAlign w:val="center"/>
          </w:tcPr>
          <w:p w14:paraId="4F82AEF2">
            <w:pPr>
              <w:bidi w:val="0"/>
            </w:pPr>
            <w:r>
              <w:t>重庆市</w:t>
            </w:r>
            <w:r>
              <w:rPr>
                <w:rFonts w:hint="eastAsia"/>
                <w:lang w:eastAsia="zh-CN"/>
              </w:rPr>
              <w:t>温泉镇</w:t>
            </w:r>
            <w:r>
              <w:rPr>
                <w:rFonts w:hint="eastAsia"/>
              </w:rPr>
              <w:t>环保办</w:t>
            </w:r>
            <w:r>
              <w:t>现场监察记录单</w:t>
            </w:r>
          </w:p>
        </w:tc>
        <w:tc>
          <w:tcPr>
            <w:tcW w:w="2449" w:type="dxa"/>
            <w:noWrap w:val="0"/>
            <w:vAlign w:val="center"/>
          </w:tcPr>
          <w:p w14:paraId="717E1F4D">
            <w:pPr>
              <w:bidi w:val="0"/>
            </w:pPr>
            <w:r>
              <w:t>水厂巡查记录</w:t>
            </w:r>
          </w:p>
        </w:tc>
      </w:tr>
      <w:tr w14:paraId="0C3D2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5D7927FE">
            <w:pPr>
              <w:bidi w:val="0"/>
            </w:pPr>
            <w:r>
              <w:t>7</w:t>
            </w:r>
          </w:p>
        </w:tc>
        <w:tc>
          <w:tcPr>
            <w:tcW w:w="5596" w:type="dxa"/>
            <w:noWrap w:val="0"/>
            <w:vAlign w:val="center"/>
          </w:tcPr>
          <w:p w14:paraId="7009BA3F">
            <w:pPr>
              <w:bidi w:val="0"/>
            </w:pPr>
            <w:r>
              <w:rPr>
                <w:rFonts w:hint="eastAsia"/>
                <w:lang w:eastAsia="zh-CN"/>
              </w:rPr>
              <w:t>温泉镇</w:t>
            </w:r>
            <w:r>
              <w:t>饮用水源保护区巡查记录表</w:t>
            </w:r>
          </w:p>
        </w:tc>
        <w:tc>
          <w:tcPr>
            <w:tcW w:w="2449" w:type="dxa"/>
            <w:noWrap w:val="0"/>
            <w:vAlign w:val="center"/>
          </w:tcPr>
          <w:p w14:paraId="59B8BC39">
            <w:pPr>
              <w:bidi w:val="0"/>
            </w:pPr>
            <w:r>
              <w:t>生态环境局巡查记录</w:t>
            </w:r>
          </w:p>
        </w:tc>
      </w:tr>
      <w:tr w14:paraId="31EBE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1D989D0D">
            <w:pPr>
              <w:bidi w:val="0"/>
            </w:pPr>
            <w:r>
              <w:t>8</w:t>
            </w:r>
          </w:p>
        </w:tc>
        <w:tc>
          <w:tcPr>
            <w:tcW w:w="5596" w:type="dxa"/>
            <w:noWrap w:val="0"/>
            <w:vAlign w:val="center"/>
          </w:tcPr>
          <w:p w14:paraId="6984E8F2">
            <w:pPr>
              <w:bidi w:val="0"/>
            </w:pPr>
            <w:r>
              <w:t>《</w:t>
            </w:r>
            <w:r>
              <w:rPr>
                <w:rFonts w:hint="eastAsia"/>
                <w:lang w:eastAsia="zh-CN"/>
              </w:rPr>
              <w:t>温泉镇</w:t>
            </w:r>
            <w:r>
              <w:rPr>
                <w:rFonts w:hint="eastAsia"/>
              </w:rPr>
              <w:t>人民政府</w:t>
            </w:r>
            <w:r>
              <w:t>应急物资明细》</w:t>
            </w:r>
          </w:p>
        </w:tc>
        <w:tc>
          <w:tcPr>
            <w:tcW w:w="2449" w:type="dxa"/>
            <w:noWrap w:val="0"/>
            <w:vAlign w:val="center"/>
          </w:tcPr>
          <w:p w14:paraId="3B883F80">
            <w:pPr>
              <w:bidi w:val="0"/>
            </w:pPr>
            <w:r>
              <w:t>水源地应急</w:t>
            </w:r>
            <w:r>
              <w:rPr>
                <w:rFonts w:hint="eastAsia"/>
                <w:lang w:eastAsia="zh-CN"/>
              </w:rPr>
              <w:t>物资</w:t>
            </w:r>
            <w:r>
              <w:t>、装备、设备储备清单</w:t>
            </w:r>
          </w:p>
        </w:tc>
      </w:tr>
      <w:tr w14:paraId="2DFE7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0" w:type="dxa"/>
            <w:noWrap w:val="0"/>
            <w:vAlign w:val="center"/>
          </w:tcPr>
          <w:p w14:paraId="7B3F84F2">
            <w:pPr>
              <w:bidi w:val="0"/>
            </w:pPr>
            <w:r>
              <w:t>9</w:t>
            </w:r>
          </w:p>
        </w:tc>
        <w:tc>
          <w:tcPr>
            <w:tcW w:w="5596" w:type="dxa"/>
            <w:noWrap w:val="0"/>
            <w:vAlign w:val="center"/>
          </w:tcPr>
          <w:p w14:paraId="5E28042B">
            <w:pPr>
              <w:bidi w:val="0"/>
            </w:pPr>
            <w:r>
              <w:t>重庆市</w:t>
            </w:r>
            <w:r>
              <w:rPr>
                <w:rFonts w:hint="eastAsia"/>
              </w:rPr>
              <w:t>开州区</w:t>
            </w:r>
            <w:r>
              <w:t>环境应急专家库名单</w:t>
            </w:r>
          </w:p>
        </w:tc>
        <w:tc>
          <w:tcPr>
            <w:tcW w:w="2449" w:type="dxa"/>
            <w:noWrap w:val="0"/>
            <w:vAlign w:val="center"/>
          </w:tcPr>
          <w:p w14:paraId="285D36BA">
            <w:pPr>
              <w:bidi w:val="0"/>
            </w:pPr>
          </w:p>
        </w:tc>
      </w:tr>
    </w:tbl>
    <w:p w14:paraId="348AE2F0">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eastAsia" w:ascii="宋体" w:hAnsi="宋体" w:eastAsia="宋体" w:cs="宋体"/>
          <w:b/>
          <w:bCs/>
          <w:color w:val="auto"/>
          <w:kern w:val="2"/>
          <w:sz w:val="32"/>
          <w:szCs w:val="32"/>
          <w:lang w:val="en-US" w:eastAsia="zh-CN" w:bidi="ar-SA"/>
        </w:rPr>
      </w:pPr>
      <w:bookmarkStart w:id="32" w:name="_Toc26530"/>
      <w:bookmarkStart w:id="33" w:name="_Toc8217"/>
      <w:r>
        <w:rPr>
          <w:rFonts w:hint="eastAsia" w:ascii="宋体" w:hAnsi="宋体" w:eastAsia="宋体" w:cs="宋体"/>
          <w:b/>
          <w:bCs/>
          <w:color w:val="auto"/>
          <w:kern w:val="2"/>
          <w:sz w:val="32"/>
          <w:szCs w:val="32"/>
          <w:lang w:val="en-US" w:eastAsia="zh-CN" w:bidi="ar-SA"/>
        </w:rPr>
        <w:t>2.4 水源地环境风险</w:t>
      </w:r>
      <w:bookmarkEnd w:id="32"/>
      <w:bookmarkEnd w:id="33"/>
    </w:p>
    <w:p w14:paraId="51E3763F">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2.4.1 固定源</w:t>
      </w:r>
    </w:p>
    <w:p w14:paraId="164F7FB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经调查，开州区温泉镇东河温泉供水站水源地保护区、汇水区域及上游连接水体上溯24小时流程范围内无工业企业、加油加气站、污水处理厂、入河排污口、废弃物暂存或转运站、危化品堆放场所、工业弃渣场、尾矿库、无垃圾填埋场等固定风险源分布。</w:t>
      </w:r>
    </w:p>
    <w:p w14:paraId="74EBAFC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综上，温泉镇开州区温泉镇东河温泉供水站水源地无固定污染源存在。</w:t>
      </w:r>
    </w:p>
    <w:p w14:paraId="00DA4B88">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2.4.2 流动源</w:t>
      </w:r>
    </w:p>
    <w:p w14:paraId="602896C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（一）货运码头、水上加油站</w:t>
      </w:r>
    </w:p>
    <w:p w14:paraId="346A816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cs="宋体"/>
          <w:color w:val="auto"/>
          <w:sz w:val="28"/>
          <w:szCs w:val="28"/>
          <w:lang w:val="en-US" w:eastAsia="zh-CN"/>
        </w:rPr>
        <w:t>开州区</w:t>
      </w:r>
      <w:r>
        <w:rPr>
          <w:rFonts w:hint="eastAsia" w:ascii="宋体" w:hAnsi="宋体" w:eastAsia="宋体" w:cs="宋体"/>
          <w:color w:val="auto"/>
          <w:sz w:val="28"/>
          <w:szCs w:val="28"/>
          <w:lang w:val="en-US" w:eastAsia="zh-CN"/>
        </w:rPr>
        <w:t>温泉镇东河温泉供水站水源地保护区内无从事危险化学品或煤炭、矿砂、水泥等装卸作业的货运码头。保护区及保护区上游连接水体及周边汇水区域上溯24小时流程范围内无水上加油站，无航道功能，不涉及环境风险物质运输，无涉及环境风险物质运输的码头。</w:t>
      </w:r>
    </w:p>
    <w:p w14:paraId="46E73B0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（二）涉及环境风险物质运输的道路、桥梁</w:t>
      </w:r>
    </w:p>
    <w:p w14:paraId="5CCE106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根据现场调查，开州区温泉镇东河温泉供水站水源地保护区无公路穿越。</w:t>
      </w:r>
    </w:p>
    <w:p w14:paraId="1499DB7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保护区上游连接水体及周边汇水区域上溯24小时流程范围内的水体旁分布有道路（村道），临水源地的道路段设置有防撞护栏。</w:t>
      </w:r>
    </w:p>
    <w:p w14:paraId="3BC3E55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温泉镇未设置危险化学品专用运输道路，水源地周边无使用或储存环境风险物质的企业。因此，除行驶的交通载具自带的油品外，基本不涉及环境风险物质运输。</w:t>
      </w:r>
    </w:p>
    <w:p w14:paraId="1DBEB83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（三）涉及环境风险物质运输的航道</w:t>
      </w:r>
    </w:p>
    <w:p w14:paraId="2A90A17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无航道功能，不涉及环境风险物质运输，无涉及环境风险物质运输的码头。</w:t>
      </w:r>
    </w:p>
    <w:p w14:paraId="64C671F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综上，开州区温泉镇东河温泉供水站水源地保护区及保护区上游连接水体及周边汇水区域上溯24小时流程范围内的流动风险源主要为：交通道路。</w:t>
      </w:r>
    </w:p>
    <w:p w14:paraId="73427C2A">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2.4.3 非点源</w:t>
      </w:r>
    </w:p>
    <w:p w14:paraId="31B4B61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（一）土地利用</w:t>
      </w:r>
    </w:p>
    <w:p w14:paraId="5495FB2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经调查，开州区温泉镇东河温泉供水站水源地保护区及流域范围内土地利用以林地为主，有一定面积的林地和农村居民用地。水源地保护边界上游上溯24小时流程范围的流域范围主要为农村区域，农用地、林地和未利用地等土地利用类型均有分布。</w:t>
      </w:r>
    </w:p>
    <w:p w14:paraId="7D43FCB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（二）农业面源风险源</w:t>
      </w:r>
    </w:p>
    <w:p w14:paraId="4A46F09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温泉镇东河温泉供水站水源地保护区一级、二级保护区范围内不存在耕地。汇水区域有少量耕地，对汇水区内的农业种植采用改良耕作方式，集中推广科学实用高质量的专用配方肥料，在重点区域开展测土配方施肥试验示范，提高肥料利用率等措施有效控制氮、磷入库负荷。大力实施绿色防控，推广病虫害远程监控技术，农业防治、物理防治、生物防治技术，化学防控技术，有效控制入库农药污染负荷，从而减少农业面源污染。</w:t>
      </w:r>
    </w:p>
    <w:p w14:paraId="6792531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（三）畜禽养殖风险源</w:t>
      </w:r>
    </w:p>
    <w:p w14:paraId="703C6AE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根据饮用水水源地环境保护现场监察记录及现场踏勘，开州区温泉镇东河温泉供水站水源地保护区内无规模化畜禽养殖。</w:t>
      </w:r>
    </w:p>
    <w:p w14:paraId="7E502C0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（四）水产养殖风险源</w:t>
      </w:r>
    </w:p>
    <w:p w14:paraId="6F5AC06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开州区温泉镇东河温泉供水站水源地保护区内、保护区边界向上游连接水体及周边汇水区域上溯24小时流程范围的流域范围内均无水产养殖。</w:t>
      </w:r>
    </w:p>
    <w:p w14:paraId="1BF8CCE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（五）生活风险源</w:t>
      </w:r>
    </w:p>
    <w:p w14:paraId="37A7DBD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经调查，开州区温泉镇东河温泉供水站水源地保护区内无生活排污口。水源地保护区内居民生活污水均收集进入旱厕作农家肥用。</w:t>
      </w:r>
    </w:p>
    <w:p w14:paraId="092B37CD">
      <w:pPr>
        <w:bidi w:val="0"/>
        <w:rPr>
          <w:rFonts w:hint="eastAsia"/>
          <w:lang w:val="en-US" w:eastAsia="zh-CN"/>
        </w:rPr>
      </w:pPr>
    </w:p>
    <w:p w14:paraId="0DA2ACC5">
      <w:pPr>
        <w:bidi w:val="0"/>
        <w:rPr>
          <w:rFonts w:hint="eastAsia"/>
          <w:lang w:val="en-US" w:eastAsia="zh-CN"/>
        </w:rPr>
      </w:pPr>
      <w:r>
        <w:rPr>
          <w:rFonts w:hint="eastAsia"/>
          <w:lang w:val="en-US" w:eastAsia="zh-CN"/>
        </w:rPr>
        <w:br w:type="page"/>
      </w:r>
    </w:p>
    <w:p w14:paraId="15F4CF5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color w:val="auto"/>
          <w:kern w:val="2"/>
          <w:sz w:val="32"/>
          <w:szCs w:val="32"/>
          <w:lang w:val="en-US" w:eastAsia="zh-CN" w:bidi="ar-SA"/>
        </w:rPr>
      </w:pPr>
      <w:bookmarkStart w:id="34" w:name="_Toc1557"/>
      <w:bookmarkStart w:id="35" w:name="_Toc21990"/>
      <w:r>
        <w:rPr>
          <w:rFonts w:hint="eastAsia" w:ascii="宋体" w:hAnsi="宋体" w:eastAsia="宋体" w:cs="宋体"/>
          <w:b/>
          <w:bCs/>
          <w:color w:val="auto"/>
          <w:kern w:val="2"/>
          <w:sz w:val="32"/>
          <w:szCs w:val="32"/>
          <w:lang w:val="en-US" w:eastAsia="zh-CN" w:bidi="ar-SA"/>
        </w:rPr>
        <w:t>3 应急组织机构体系及职责</w:t>
      </w:r>
      <w:bookmarkEnd w:id="34"/>
      <w:bookmarkEnd w:id="35"/>
    </w:p>
    <w:p w14:paraId="3ADA1FA3">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eastAsia" w:ascii="宋体" w:hAnsi="宋体" w:eastAsia="宋体" w:cs="宋体"/>
          <w:b/>
          <w:bCs/>
          <w:color w:val="auto"/>
          <w:kern w:val="2"/>
          <w:sz w:val="32"/>
          <w:szCs w:val="32"/>
          <w:lang w:val="en-US" w:eastAsia="zh-CN" w:bidi="ar-SA"/>
        </w:rPr>
      </w:pPr>
      <w:bookmarkStart w:id="36" w:name="_Toc20276"/>
      <w:bookmarkStart w:id="37" w:name="_Toc3034"/>
      <w:r>
        <w:rPr>
          <w:rFonts w:hint="eastAsia" w:ascii="宋体" w:hAnsi="宋体" w:eastAsia="宋体" w:cs="宋体"/>
          <w:b/>
          <w:bCs/>
          <w:color w:val="auto"/>
          <w:kern w:val="2"/>
          <w:sz w:val="32"/>
          <w:szCs w:val="32"/>
          <w:lang w:val="en-US" w:eastAsia="zh-CN" w:bidi="ar-SA"/>
        </w:rPr>
        <w:t>3.1 应急组织机构</w:t>
      </w:r>
      <w:bookmarkEnd w:id="36"/>
      <w:bookmarkEnd w:id="37"/>
    </w:p>
    <w:p w14:paraId="34BEC93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温泉镇是负责重庆市开州区温泉镇突发环境事件应急管理工作的行政领导机关。根据工作需要，成立温泉镇应急领导小组（以下简称“应急领导小组”），统一领导重庆市开州区温泉镇突发环境事件应对工作，对重庆市开州区温泉镇突发环境事件的应急管理、应急处置和灾后重建工作的实施领导，负责统一指挥突发环境事件应急处置工作。</w:t>
      </w:r>
    </w:p>
    <w:p w14:paraId="5F602325">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总指挥由温泉镇党委书记担任，副总指挥由温泉镇镇长、副书记、副镇长等担任，成员由各相关部门负责人及各社区、村负责人担任。应急领导小组下设突发环境事件应急办公室（以下简称“应急办公室”），应急办公室设在温泉镇村镇建设服务中心，由村镇建设服务中心主任兼任应急办主任，村镇建设服务中心从事应急工作的相关同志为办公室成员。</w:t>
      </w:r>
      <w:bookmarkStart w:id="38" w:name="_Toc26095"/>
    </w:p>
    <w:p w14:paraId="65B85EBB">
      <w:pPr>
        <w:keepNext/>
        <w:keepLines/>
        <w:pageBreakBefore w:val="0"/>
        <w:widowControl w:val="0"/>
        <w:kinsoku/>
        <w:wordWrap/>
        <w:overflowPunct/>
        <w:topLinePunct w:val="0"/>
        <w:autoSpaceDE/>
        <w:autoSpaceDN/>
        <w:bidi w:val="0"/>
        <w:adjustRightInd/>
        <w:snapToGrid/>
        <w:spacing w:before="0" w:beforeLines="0" w:after="0" w:afterLines="0" w:line="360" w:lineRule="auto"/>
        <w:ind w:left="0"/>
        <w:jc w:val="left"/>
        <w:textAlignment w:val="auto"/>
        <w:outlineLvl w:val="1"/>
        <w:rPr>
          <w:rFonts w:hint="default" w:ascii="宋体" w:hAnsi="宋体" w:eastAsia="宋体" w:cs="宋体"/>
          <w:b/>
          <w:bCs/>
          <w:color w:val="auto"/>
          <w:kern w:val="2"/>
          <w:sz w:val="32"/>
          <w:szCs w:val="32"/>
          <w:lang w:val="en-US" w:eastAsia="zh-CN" w:bidi="ar-SA"/>
        </w:rPr>
      </w:pPr>
      <w:bookmarkStart w:id="39" w:name="_Toc26975"/>
      <w:r>
        <w:rPr>
          <w:rFonts w:hint="eastAsia" w:ascii="宋体" w:hAnsi="宋体" w:eastAsia="宋体" w:cs="宋体"/>
          <w:b/>
          <w:bCs/>
          <w:color w:val="auto"/>
          <w:kern w:val="2"/>
          <w:sz w:val="32"/>
          <w:szCs w:val="32"/>
          <w:lang w:val="en-US" w:eastAsia="zh-CN" w:bidi="ar-SA"/>
        </w:rPr>
        <w:t>3.2 应急工作机构及职责</w:t>
      </w:r>
      <w:bookmarkEnd w:id="38"/>
      <w:bookmarkEnd w:id="39"/>
    </w:p>
    <w:p w14:paraId="18F9A3E6">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3.2.1 应急指挥部体系</w:t>
      </w:r>
    </w:p>
    <w:p w14:paraId="28389D5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生突发环境事件时，应急领导小组自动转换为突发环境事件应急指挥部（以下简称“应急指挥部”），应急指挥部为突发环境事件现场应急指挥机构，应急领导小组组长自动转换为应急总指挥，副组长转换为副总指挥。</w:t>
      </w:r>
    </w:p>
    <w:p w14:paraId="36D81D9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应急指挥部按照职责分工和协同联动工作需要；下设3个应急工作组：现场处置组、综合协调组、警戒疏散组，开展突发环境事件及其次生、衍生灾害的应急处置工作。应急工作体系图见图3</w:t>
      </w:r>
      <w:r>
        <w:rPr>
          <w:rFonts w:hint="default" w:ascii="宋体" w:hAnsi="宋体" w:eastAsia="宋体" w:cs="宋体"/>
          <w:color w:val="auto"/>
          <w:sz w:val="28"/>
          <w:szCs w:val="28"/>
          <w:lang w:val="en-US" w:eastAsia="zh-CN"/>
        </w:rPr>
        <w:t>-</w:t>
      </w:r>
      <w:r>
        <w:rPr>
          <w:rFonts w:hint="eastAsia" w:ascii="宋体" w:hAnsi="宋体" w:eastAsia="宋体" w:cs="宋体"/>
          <w:color w:val="auto"/>
          <w:sz w:val="28"/>
          <w:szCs w:val="28"/>
          <w:lang w:val="en-US" w:eastAsia="zh-CN"/>
        </w:rPr>
        <w:t>2。</w:t>
      </w:r>
    </w:p>
    <w:p w14:paraId="0DDBFDBF">
      <w:pPr>
        <w:pageBreakBefore w:val="0"/>
        <w:kinsoku/>
        <w:wordWrap/>
        <w:overflowPunct/>
        <w:topLinePunct w:val="0"/>
        <w:bidi w:val="0"/>
        <w:spacing w:before="0" w:beforeLines="0" w:after="0" w:afterLines="0"/>
        <w:ind w:left="0"/>
        <w:jc w:val="center"/>
        <w:textAlignment w:val="auto"/>
        <w:outlineLvl w:val="9"/>
        <w:rPr>
          <w:rFonts w:hint="eastAsia" w:ascii="宋体" w:hAnsi="宋体" w:eastAsia="宋体" w:cs="宋体"/>
          <w:b/>
          <w:bCs/>
          <w:color w:val="auto"/>
          <w:sz w:val="24"/>
          <w:szCs w:val="24"/>
          <w:lang w:val="en-US" w:eastAsia="zh-CN"/>
        </w:rPr>
      </w:pPr>
      <w:r>
        <w:rPr>
          <w:color w:val="auto"/>
          <w:sz w:val="24"/>
        </w:rPr>
        <mc:AlternateContent>
          <mc:Choice Requires="wpg">
            <w:drawing>
              <wp:anchor distT="0" distB="0" distL="114300" distR="114300" simplePos="0" relativeHeight="251679744" behindDoc="0" locked="0" layoutInCell="1" allowOverlap="1">
                <wp:simplePos x="0" y="0"/>
                <wp:positionH relativeFrom="column">
                  <wp:posOffset>1523365</wp:posOffset>
                </wp:positionH>
                <wp:positionV relativeFrom="page">
                  <wp:posOffset>1042670</wp:posOffset>
                </wp:positionV>
                <wp:extent cx="2799715" cy="2386330"/>
                <wp:effectExtent l="4445" t="4445" r="15240" b="9525"/>
                <wp:wrapTopAndBottom/>
                <wp:docPr id="66" name="组合 66"/>
                <wp:cNvGraphicFramePr/>
                <a:graphic xmlns:a="http://schemas.openxmlformats.org/drawingml/2006/main">
                  <a:graphicData uri="http://schemas.microsoft.com/office/word/2010/wordprocessingGroup">
                    <wpg:wgp>
                      <wpg:cNvGrpSpPr/>
                      <wpg:grpSpPr>
                        <a:xfrm>
                          <a:off x="0" y="0"/>
                          <a:ext cx="2799715" cy="2386330"/>
                          <a:chOff x="7345" y="244510"/>
                          <a:chExt cx="4409" cy="3758"/>
                        </a:xfrm>
                        <a:effectLst/>
                      </wpg:grpSpPr>
                      <wps:wsp>
                        <wps:cNvPr id="65" name="矩形 55"/>
                        <wps:cNvSpPr/>
                        <wps:spPr>
                          <a:xfrm>
                            <a:off x="8728" y="244510"/>
                            <a:ext cx="1763" cy="72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D213D32">
                              <w:pPr>
                                <w:jc w:val="center"/>
                                <w:rPr>
                                  <w:rFonts w:hint="eastAsia" w:eastAsia="宋体"/>
                                  <w:sz w:val="28"/>
                                  <w:szCs w:val="28"/>
                                  <w:lang w:eastAsia="zh-CN"/>
                                </w:rPr>
                              </w:pPr>
                              <w:r>
                                <w:rPr>
                                  <w:rFonts w:hint="eastAsia"/>
                                  <w:sz w:val="28"/>
                                  <w:szCs w:val="28"/>
                                  <w:lang w:eastAsia="zh-CN"/>
                                </w:rPr>
                                <w:t>应急指挥部</w:t>
                              </w:r>
                            </w:p>
                          </w:txbxContent>
                        </wps:txbx>
                        <wps:bodyPr upright="1"/>
                      </wps:wsp>
                      <wps:wsp>
                        <wps:cNvPr id="67" name="矩形 57"/>
                        <wps:cNvSpPr/>
                        <wps:spPr>
                          <a:xfrm>
                            <a:off x="9347"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973192">
                              <w:pPr>
                                <w:rPr>
                                  <w:rFonts w:hint="eastAsia" w:eastAsia="宋体" w:cs="Times New Roman"/>
                                  <w:sz w:val="24"/>
                                  <w:szCs w:val="24"/>
                                  <w:lang w:eastAsia="zh-CN"/>
                                </w:rPr>
                              </w:pPr>
                              <w:r>
                                <w:rPr>
                                  <w:rFonts w:hint="eastAsia" w:eastAsia="宋体" w:cs="Times New Roman"/>
                                  <w:sz w:val="24"/>
                                  <w:szCs w:val="24"/>
                                  <w:lang w:eastAsia="zh-CN"/>
                                </w:rPr>
                                <w:t>综合协调组</w:t>
                              </w:r>
                            </w:p>
                          </w:txbxContent>
                        </wps:txbx>
                        <wps:bodyPr upright="1"/>
                      </wps:wsp>
                      <wps:wsp>
                        <wps:cNvPr id="68" name="矩形 58"/>
                        <wps:cNvSpPr/>
                        <wps:spPr>
                          <a:xfrm>
                            <a:off x="11185"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9FD1676">
                              <w:pPr>
                                <w:rPr>
                                  <w:rFonts w:hint="eastAsia" w:eastAsia="宋体"/>
                                  <w:sz w:val="24"/>
                                  <w:szCs w:val="24"/>
                                  <w:lang w:eastAsia="zh-CN"/>
                                </w:rPr>
                              </w:pPr>
                              <w:r>
                                <w:rPr>
                                  <w:rFonts w:hint="eastAsia"/>
                                  <w:sz w:val="24"/>
                                  <w:szCs w:val="24"/>
                                  <w:lang w:eastAsia="zh-CN"/>
                                </w:rPr>
                                <w:t>警戒疏散组</w:t>
                              </w:r>
                            </w:p>
                            <w:p w14:paraId="5C647FD6">
                              <w:pPr>
                                <w:rPr>
                                  <w:rFonts w:hint="eastAsia"/>
                                  <w:lang w:eastAsia="zh-CN"/>
                                </w:rPr>
                              </w:pPr>
                            </w:p>
                          </w:txbxContent>
                        </wps:txbx>
                        <wps:bodyPr upright="1"/>
                      </wps:wsp>
                      <wps:wsp>
                        <wps:cNvPr id="69" name="矩形 59"/>
                        <wps:cNvSpPr/>
                        <wps:spPr>
                          <a:xfrm>
                            <a:off x="7345" y="246566"/>
                            <a:ext cx="569" cy="170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92D1AD">
                              <w:pPr>
                                <w:rPr>
                                  <w:rFonts w:hint="eastAsia" w:eastAsia="宋体"/>
                                  <w:sz w:val="24"/>
                                  <w:szCs w:val="24"/>
                                  <w:lang w:eastAsia="zh-CN"/>
                                </w:rPr>
                              </w:pPr>
                              <w:r>
                                <w:rPr>
                                  <w:rFonts w:hint="eastAsia"/>
                                  <w:sz w:val="24"/>
                                  <w:szCs w:val="24"/>
                                  <w:lang w:val="en-US" w:eastAsia="zh-CN"/>
                                </w:rPr>
                                <w:t>现场</w:t>
                              </w:r>
                              <w:r>
                                <w:rPr>
                                  <w:rFonts w:hint="eastAsia"/>
                                  <w:sz w:val="24"/>
                                  <w:szCs w:val="24"/>
                                  <w:lang w:eastAsia="zh-CN"/>
                                </w:rPr>
                                <w:t>处置组</w:t>
                              </w:r>
                            </w:p>
                          </w:txbxContent>
                        </wps:txbx>
                        <wps:bodyPr upright="1"/>
                      </wps:wsp>
                      <wps:wsp>
                        <wps:cNvPr id="70" name="肘形连接符 61"/>
                        <wps:cNvCnPr>
                          <a:stCxn id="65" idx="2"/>
                          <a:endCxn id="69" idx="0"/>
                        </wps:cNvCnPr>
                        <wps:spPr>
                          <a:xfrm rot="5400000">
                            <a:off x="7951" y="244907"/>
                            <a:ext cx="1329" cy="1980"/>
                          </a:xfrm>
                          <a:prstGeom prst="bentConnector3">
                            <a:avLst>
                              <a:gd name="adj1" fmla="val 50000"/>
                            </a:avLst>
                          </a:prstGeom>
                          <a:ln w="9525" cap="flat" cmpd="sng">
                            <a:solidFill>
                              <a:srgbClr val="000000"/>
                            </a:solidFill>
                            <a:prstDash val="solid"/>
                            <a:miter/>
                            <a:headEnd type="none" w="med" len="med"/>
                            <a:tailEnd type="arrow" w="med" len="med"/>
                          </a:ln>
                          <a:effectLst/>
                        </wps:spPr>
                        <wps:bodyPr/>
                      </wps:wsp>
                      <wps:wsp>
                        <wps:cNvPr id="71" name="肘形连接符 62"/>
                        <wps:cNvCnPr>
                          <a:stCxn id="65" idx="2"/>
                          <a:endCxn id="68" idx="0"/>
                        </wps:cNvCnPr>
                        <wps:spPr>
                          <a:xfrm rot="5400000" flipV="1">
                            <a:off x="9871" y="244967"/>
                            <a:ext cx="1329" cy="1860"/>
                          </a:xfrm>
                          <a:prstGeom prst="bentConnector3">
                            <a:avLst>
                              <a:gd name="adj1" fmla="val 50000"/>
                            </a:avLst>
                          </a:prstGeom>
                          <a:ln w="9525" cap="flat" cmpd="sng">
                            <a:solidFill>
                              <a:srgbClr val="000000"/>
                            </a:solidFill>
                            <a:prstDash val="solid"/>
                            <a:miter/>
                            <a:headEnd type="none" w="med" len="med"/>
                            <a:tailEnd type="arrow" w="med" len="med"/>
                          </a:ln>
                          <a:effectLst/>
                        </wps:spPr>
                        <wps:bodyPr/>
                      </wps:wsp>
                      <wps:wsp>
                        <wps:cNvPr id="72" name="直接连接符 63"/>
                        <wps:cNvCnPr/>
                        <wps:spPr>
                          <a:xfrm>
                            <a:off x="9596" y="245886"/>
                            <a:ext cx="10" cy="675"/>
                          </a:xfrm>
                          <a:prstGeom prst="line">
                            <a:avLst/>
                          </a:prstGeom>
                          <a:ln w="9525" cap="flat" cmpd="sng">
                            <a:solidFill>
                              <a:srgbClr val="000000"/>
                            </a:solidFill>
                            <a:prstDash val="solid"/>
                            <a:headEnd type="none" w="med" len="med"/>
                            <a:tailEnd type="arrow" w="med" len="med"/>
                          </a:ln>
                          <a:effectLst/>
                        </wps:spPr>
                        <wps:bodyPr upright="1"/>
                      </wps:wsp>
                    </wpg:wgp>
                  </a:graphicData>
                </a:graphic>
              </wp:anchor>
            </w:drawing>
          </mc:Choice>
          <mc:Fallback>
            <w:pict>
              <v:group id="_x0000_s1026" o:spid="_x0000_s1026" o:spt="203" style="position:absolute;left:0pt;margin-left:119.95pt;margin-top:82.1pt;height:187.9pt;width:220.45pt;mso-position-vertical-relative:page;mso-wrap-distance-bottom:0pt;mso-wrap-distance-top:0pt;z-index:251679744;mso-width-relative:page;mso-height-relative:page;" coordorigin="7345,244510" coordsize="4409,3758" o:gfxdata="UEsDBAoAAAAAAIdO4kAAAAAAAAAAAAAAAAAEAAAAZHJzL1BLAwQUAAAACACHTuJASw87jdoAAAAL&#10;AQAADwAAAGRycy9kb3ducmV2LnhtbE2PQWvCQBCF74X+h2WE3upuogaN2UiRticpVAultzEZk2B2&#10;N2TXRP99p6d6HN7Hm+9lm6tpxUC9b5zVEE0VCLKFKxtbafg6vD0vQfiAtsTWWdJwIw+b/PEhw7R0&#10;o/2kYR8qwSXWp6ihDqFLpfRFTQb91HVkOTu53mDgs69k2ePI5aaVsVKJNNhY/lBjR9uaivP+YjS8&#10;jzi+zKLXYXc+bW8/h8XH9y4irZ8mkVqDCHQN/zD86bM65Ox0dBdbetFqiGerFaMcJPMYBBPJUvGY&#10;o4bFXCmQeSbvN+S/UEsDBBQAAAAIAIdO4kAulTbEJQQAAAQUAAAOAAAAZHJzL2Uyb0RvYy54bWzt&#10;WEuP5DQQviPxH6zcme4knaemZw8zO3NBsNICd3fiPFBiW7Zn0nNFHDghjkhIICGBhMSRG0L8mmX2&#10;Z1B+pDvdTIvWACst6j6k7dgpV5U/V33l82frvkN3RMiW0aXnn809RGjBypbWS+/jj67fSz0kFaYl&#10;7hglS++eSO/ZxbvvnA88JwFrWFcSgUAIlfnAl16jFM9nM1k0pMfyjHFCYbBioscKuqKelQIPIL3v&#10;ZsF8Hs8GJkouWEGkhLdXdtBzEsUxAllVtQW5YsVtT6iyUgXpsAKTZNNy6V0YbauKFOrDqpJEoW7p&#10;gaXKPGERaK/0c3ZxjvNaYN60hVMBH6PCnk09biksuhF1hRVGt6L9i6i+LQSTrFJnBetn1hDjEbDC&#10;n+/55kawW25sqfOh5hunw0btef3JYosP7l4I1JZLL449RHEPO/7w6+evvvoCwQvwzsDrHCbdCP6S&#10;vxDuRW172uB1JXr9D6agtfHr/cavZK1QAS+DJMsSP/JQAWNBmMZh6DxfNLA9+rskXMC4Hl4sIn8z&#10;+txJWCzmmf08TKJU6zXbLk3MPr8vlX6t9d2oN3DAqNw6Tv4zx71sMCdmP6T2yeg4UNw57rufXv32&#10;PYoi6zgzaeM1mUtw4CMuS5MAjtye6aPr/CQOreFJkOzZzYVUN4T1SDeWngCwGwziO+cLnI9T9LKS&#10;dW153Xad6Yh6ddkJdIfhYFybn5O+M62jaFh6WRTozcNw2is4ZdDsOSBG0tqst/OFnAqem99jgrVi&#10;V1g2VgEjQU/Ded8qIkyrIbh8Tkuk7jmAkkIw8rQyPSk91BGIXbplZircdsfMBMx0VC+yh5hxazRc&#10;1Hq1BqG6uWLlPezxLRdt3YCDfWOIw5Sd8t+DK9kHl0GBVgIQ+PfgysIFSDDgiiN7osF8d6qi2B0q&#10;P5kHxrjtoRqRcwLX/xhcEHd2I5cJrUeDy/f9dIzaJ3SdQpcDzpgXIbjsoivTMeZodE0owQlcJ3Dt&#10;gisBAm/B9fqzr4F0vf792z++/OHh5x9RbNK0m31JLeWS6nJNLc2FgNWWmpRa7kBouRkCwJohQz+B&#10;SZoca0XozpS/IcGAEUQLS3A0p3AEOMkif2Rz2dwk623C9cNgzLhZalc5mHFXUNpcMkqB1TERbomd&#10;XqsunfG4/BRWq/oOihagcijS+rhMbmigIcpjLtefvo2MDgvBhsfJ3zGUzvI4CD1mS4GyvSHulsDW&#10;HMCoAd8OwICfH4VRSNlPwyiqupZ/olnsBK1ZqpW0tUcWH0ZrGo+oGuu9EVOOH57QuqlU3la0BiNa&#10;H775BWLpJKKGk7ytw6HL4tN4OMVUlMFVgsFUlKbmEmESASFu61uAODFF8qSK3wNU10K9p6UeqGbf&#10;fBx7aj36r+DhYBVqLjzgcsgEeneRpW+fpn0T+baXdxd/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EsPO43aAAAACwEAAA8AAAAAAAAAAQAgAAAAIgAAAGRycy9kb3ducmV2LnhtbFBLAQIUABQAAAAI&#10;AIdO4kAulTbEJQQAAAQUAAAOAAAAAAAAAAEAIAAAACkBAABkcnMvZTJvRG9jLnhtbFBLBQYAAAAA&#10;BgAGAFkBAADABwAAAAA=&#10;">
                <o:lock v:ext="edit" aspectratio="f"/>
                <v:rect id="矩形 55" o:spid="_x0000_s1026" o:spt="1" style="position:absolute;left:8728;top:244510;height:727;width:1763;" fillcolor="#FFFFFF" filled="t" stroked="t" coordsize="21600,21600" o:gfxdata="UEsDBAoAAAAAAIdO4kAAAAAAAAAAAAAAAAAEAAAAZHJzL1BLAwQUAAAACACHTuJAze3OdLwAAADb&#10;AAAADwAAAGRycy9kb3ducmV2LnhtbEWPQYvCMBSE78L+h/AW9qaJLopWo4cVRY9aL96ezdu2u81L&#10;aaJWf70RBI/DzHzDzBatrcSFGl861tDvKRDEmTMl5xoO6ao7BuEDssHKMWm4kYfF/KMzw8S4K+/o&#10;sg+5iBD2CWooQqgTKX1WkEXfczVx9H5dYzFE2eTSNHiNcFvJgVIjabHkuFBgTT8FZf/7s9VwKgcH&#10;vO/StbKT1XfYtunf+bjU+uuzr6YgArXhHX61N0bDaAjPL/E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3tznS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D213D32">
                        <w:pPr>
                          <w:jc w:val="center"/>
                          <w:rPr>
                            <w:rFonts w:hint="eastAsia" w:eastAsia="宋体"/>
                            <w:sz w:val="28"/>
                            <w:szCs w:val="28"/>
                            <w:lang w:eastAsia="zh-CN"/>
                          </w:rPr>
                        </w:pPr>
                        <w:r>
                          <w:rPr>
                            <w:rFonts w:hint="eastAsia"/>
                            <w:sz w:val="28"/>
                            <w:szCs w:val="28"/>
                            <w:lang w:eastAsia="zh-CN"/>
                          </w:rPr>
                          <w:t>应急指挥部</w:t>
                        </w:r>
                      </w:p>
                    </w:txbxContent>
                  </v:textbox>
                </v:rect>
                <v:rect id="矩形 57" o:spid="_x0000_s1026" o:spt="1" style="position:absolute;left:9347;top:246566;height:1702;width:569;" fillcolor="#FFFFFF" filled="t" stroked="t" coordsize="21600,21600" o:gfxdata="UEsDBAoAAAAAAIdO4kAAAAAAAAAAAAAAAAAEAAAAZHJzL1BLAwQUAAAACACHTuJAUnP1mL4AAADb&#10;AAAADwAAAGRycy9kb3ducmV2LnhtbEWPwW7CMBBE75X4B2uReis2VKJtipMDFRU9Qrj0to2XJBCv&#10;o9gJoV+PkSr1OJqZN5pVNtpGDNT52rGG+UyBIC6cqbnUcMg3T68gfEA22DgmDVfykKWThxUmxl14&#10;R8M+lCJC2CeooQqhTaT0RUUW/cy1xNE7us5iiLIrpenwEuG2kQulltJizXGhwpbWFRXnfW81/NSL&#10;A/7u8k9l3zbP4WvMT/33h9aP07l6BxFoDP/hv/bWaFi+wP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P1m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5973192">
                        <w:pPr>
                          <w:rPr>
                            <w:rFonts w:hint="eastAsia" w:eastAsia="宋体" w:cs="Times New Roman"/>
                            <w:sz w:val="24"/>
                            <w:szCs w:val="24"/>
                            <w:lang w:eastAsia="zh-CN"/>
                          </w:rPr>
                        </w:pPr>
                        <w:r>
                          <w:rPr>
                            <w:rFonts w:hint="eastAsia" w:eastAsia="宋体" w:cs="Times New Roman"/>
                            <w:sz w:val="24"/>
                            <w:szCs w:val="24"/>
                            <w:lang w:eastAsia="zh-CN"/>
                          </w:rPr>
                          <w:t>综合协调组</w:t>
                        </w:r>
                      </w:p>
                    </w:txbxContent>
                  </v:textbox>
                </v:rect>
                <v:rect id="矩形 58" o:spid="_x0000_s1026" o:spt="1" style="position:absolute;left:11185;top:246566;height:1702;width:569;" fillcolor="#FFFFFF" filled="t" stroked="t" coordsize="21600,21600" o:gfxdata="UEsDBAoAAAAAAIdO4kAAAAAAAAAAAAAAAAAEAAAAZHJzL1BLAwQUAAAACACHTuJAI+xh6rgAAADb&#10;AAAADwAAAGRycy9kb3ducmV2LnhtbEVPTa8BMRTdS/yH5krsaJEIQ1kQwpKxsbum983MM72dTIvh&#10;178uXmJ5cr6X69ZW4kmNLx1rGA0VCOLMmZJzDZd0N5iB8AHZYOWYNLzJw3rV7SwxMe7FJ3qeQy5i&#10;CPsENRQh1ImUPivIoh+6mjhyP66xGCJscmkafMVwW8mxUlNpseTYUGBNm4Ky+/lhNdzK8QU/p3Sv&#10;7Hw3Ccc2/X1ct1r3eyO1ABGoDV/xv/tgNEzj2Pgl/gC5+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xh6r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49FD1676">
                        <w:pPr>
                          <w:rPr>
                            <w:rFonts w:hint="eastAsia" w:eastAsia="宋体"/>
                            <w:sz w:val="24"/>
                            <w:szCs w:val="24"/>
                            <w:lang w:eastAsia="zh-CN"/>
                          </w:rPr>
                        </w:pPr>
                        <w:r>
                          <w:rPr>
                            <w:rFonts w:hint="eastAsia"/>
                            <w:sz w:val="24"/>
                            <w:szCs w:val="24"/>
                            <w:lang w:eastAsia="zh-CN"/>
                          </w:rPr>
                          <w:t>警戒疏散组</w:t>
                        </w:r>
                      </w:p>
                      <w:p w14:paraId="5C647FD6">
                        <w:pPr>
                          <w:rPr>
                            <w:rFonts w:hint="eastAsia"/>
                            <w:lang w:eastAsia="zh-CN"/>
                          </w:rPr>
                        </w:pPr>
                      </w:p>
                    </w:txbxContent>
                  </v:textbox>
                </v:rect>
                <v:rect id="矩形 59" o:spid="_x0000_s1026" o:spt="1" style="position:absolute;left:7345;top:246566;height:1702;width:569;" fillcolor="#FFFFFF" filled="t" stroked="t" coordsize="21600,21600" o:gfxdata="UEsDBAoAAAAAAIdO4kAAAAAAAAAAAAAAAAAEAAAAZHJzL1BLAwQUAAAACACHTuJATKDEcbsAAADb&#10;AAAADwAAAGRycy9kb3ducmV2LnhtbEWPQYvCMBSE7wv+h/AEb2uigmg1elAUPWq97O1t82yrzUtp&#10;otb99RtB8DjMzDfMfNnaStyp8aVjDYO+AkGcOVNyruGUbr4nIHxANlg5Jg1P8rBcdL7mmBj34APd&#10;jyEXEcI+QQ1FCHUipc8Ksuj7riaO3tk1FkOUTS5Ng48It5UcKjWWFkuOCwXWtCooux5vVsNvOTzh&#10;3yHdKjvdjMK+TS+3n7XWve5AzUAEasMn/G7vjIbxFF5f4g+Q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DEc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792D1AD">
                        <w:pPr>
                          <w:rPr>
                            <w:rFonts w:hint="eastAsia" w:eastAsia="宋体"/>
                            <w:sz w:val="24"/>
                            <w:szCs w:val="24"/>
                            <w:lang w:eastAsia="zh-CN"/>
                          </w:rPr>
                        </w:pPr>
                        <w:r>
                          <w:rPr>
                            <w:rFonts w:hint="eastAsia"/>
                            <w:sz w:val="24"/>
                            <w:szCs w:val="24"/>
                            <w:lang w:val="en-US" w:eastAsia="zh-CN"/>
                          </w:rPr>
                          <w:t>现场</w:t>
                        </w:r>
                        <w:r>
                          <w:rPr>
                            <w:rFonts w:hint="eastAsia"/>
                            <w:sz w:val="24"/>
                            <w:szCs w:val="24"/>
                            <w:lang w:eastAsia="zh-CN"/>
                          </w:rPr>
                          <w:t>处置组</w:t>
                        </w:r>
                      </w:p>
                    </w:txbxContent>
                  </v:textbox>
                </v:rect>
                <v:shape id="肘形连接符 61" o:spid="_x0000_s1026" o:spt="34" type="#_x0000_t34" style="position:absolute;left:7951;top:244907;height:1980;width:1329;rotation:5898240f;" filled="f" stroked="t" coordsize="21600,21600" o:gfxdata="UEsDBAoAAAAAAIdO4kAAAAAAAAAAAAAAAAAEAAAAZHJzL1BLAwQUAAAACACHTuJAPQnetLoAAADb&#10;AAAADwAAAGRycy9kb3ducmV2LnhtbEVPy4rCMBTdC/5DuMLsNHUWPqpRRJBROwpW3V+aa1tsbkqT&#10;aZ2/nywGXB7Oe7l+mUq01LjSsoLxKAJBnFldcq7gdt0NZyCcR9ZYWSYFv+Rgver3lhhr2/GF2tTn&#10;IoSwi1FB4X0dS+myggy6ka2JA/ewjUEfYJNL3WAXwk0lP6NoIg2WHBoKrGlbUPZMf4yCjTu29nA1&#10;Oqnm391Xck5O8j5V6mMwjhYgPL38W/zv3msF07A+fAk/QK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Cd60ugAAANsA&#10;AAAPAAAAAAAAAAEAIAAAACIAAABkcnMvZG93bnJldi54bWxQSwECFAAUAAAACACHTuJAMy8FnjsA&#10;AAA5AAAAEAAAAAAAAAABACAAAAAJAQAAZHJzL3NoYXBleG1sLnhtbFBLBQYAAAAABgAGAFsBAACz&#10;AwAAAAA=&#10;" adj="10800">
                  <v:fill on="f" focussize="0,0"/>
                  <v:stroke color="#000000" joinstyle="miter" endarrow="open"/>
                  <v:imagedata o:title=""/>
                  <o:lock v:ext="edit" aspectratio="f"/>
                </v:shape>
                <v:shape id="肘形连接符 62" o:spid="_x0000_s1026" o:spt="34" type="#_x0000_t34" style="position:absolute;left:9871;top:244967;flip:y;height:1860;width:1329;rotation:-5898240f;" filled="f" stroked="t" coordsize="21600,21600" o:gfxdata="UEsDBAoAAAAAAIdO4kAAAAAAAAAAAAAAAAAEAAAAZHJzL1BLAwQUAAAACACHTuJAjE/Ugr4AAADb&#10;AAAADwAAAGRycy9kb3ducmV2LnhtbEWPQWsCMRSE7wX/Q3hCbzW7llZZjYJCaRe8VAU9PjbP3W2T&#10;l20SdfvvTaHgcZiZb5j5srdGXMiH1rGCfJSBIK6cbrlWsN+9PU1BhIis0TgmBb8UYLkYPMyx0O7K&#10;n3TZxlokCIcCFTQxdoWUoWrIYhi5jjh5J+ctxiR9LbXHa4JbI8dZ9iottpwWGuxo3VD1vT1bBc9x&#10;Yw7ncXncvetV2X/5FzI/pVKPwzybgYjUx3v4v/2hFUxy+PuSfoB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E/Ugr4A&#10;AADbAAAADwAAAAAAAAABACAAAAAiAAAAZHJzL2Rvd25yZXYueG1sUEsBAhQAFAAAAAgAh07iQDMv&#10;BZ47AAAAOQAAABAAAAAAAAAAAQAgAAAADQEAAGRycy9zaGFwZXhtbC54bWxQSwUGAAAAAAYABgBb&#10;AQAAtwMAAAAA&#10;" adj="10800">
                  <v:fill on="f" focussize="0,0"/>
                  <v:stroke color="#000000" joinstyle="miter" endarrow="open"/>
                  <v:imagedata o:title=""/>
                  <o:lock v:ext="edit" aspectratio="f"/>
                </v:shape>
                <v:line id="直接连接符 63" o:spid="_x0000_s1026" o:spt="20" style="position:absolute;left:9596;top:245886;height:675;width:10;" filled="f" stroked="t" coordsize="21600,21600" o:gfxdata="UEsDBAoAAAAAAIdO4kAAAAAAAAAAAAAAAAAEAAAAZHJzL1BLAwQUAAAACACHTuJAcM4TSL4AAADb&#10;AAAADwAAAGRycy9kb3ducmV2LnhtbEWPQWvCQBSE7wX/w/IEL0U3CrYldfWgFFT00KTi9ZF9ZkOz&#10;b0N2a+K/dwWhx2FmvmEWq97W4kqtrxwrmE4SEMSF0xWXCn7yr/EHCB+QNdaOScGNPKyWg5cFptp1&#10;/E3XLJQiQtinqMCE0KRS+sKQRT9xDXH0Lq61GKJsS6lb7CLc1nKWJG/SYsVxwWBDa0PFb/ZnFZSn&#10;bqe3h3N2qU+bfD9/NeZoe6VGw2nyCSJQH/7Dz/ZWK3ifweNL/AFye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4TSL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w10:wrap type="topAndBottom"/>
              </v:group>
            </w:pict>
          </mc:Fallback>
        </mc:AlternateContent>
      </w:r>
      <w:r>
        <w:rPr>
          <w:rFonts w:hint="eastAsia" w:ascii="宋体" w:hAnsi="宋体" w:eastAsia="宋体" w:cs="宋体"/>
          <w:b/>
          <w:bCs/>
          <w:color w:val="auto"/>
          <w:sz w:val="24"/>
          <w:szCs w:val="24"/>
          <w:lang w:val="en-US" w:eastAsia="zh-CN"/>
        </w:rPr>
        <w:t>图3-2 应急工作体系图</w:t>
      </w:r>
    </w:p>
    <w:p w14:paraId="59062A69">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default"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3.2.2 应急指挥部职责</w:t>
      </w:r>
    </w:p>
    <w:p w14:paraId="4309874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3.2.2.1 应急指挥部</w:t>
      </w:r>
    </w:p>
    <w:p w14:paraId="7D36601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1）宣布成立现场应急指挥部；</w:t>
      </w:r>
    </w:p>
    <w:p w14:paraId="63841B3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2）发生水源地突发环境事件时，亲自或委托副指挥长赶赴现场进行指挥；</w:t>
      </w:r>
    </w:p>
    <w:p w14:paraId="56680D7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3）组织开展现场应急处置；</w:t>
      </w:r>
    </w:p>
    <w:p w14:paraId="1EA1106D">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4）贯彻执行当地或上级人民政府及有关部门的应急指令；</w:t>
      </w:r>
    </w:p>
    <w:p w14:paraId="1DC6B09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5）研判突发环境事件发展态势，组织制定并批准现场处置方案；</w:t>
      </w:r>
    </w:p>
    <w:p w14:paraId="074DC1D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6）按照预警、应急启动或终止条件，决定预案的启动或终止；</w:t>
      </w:r>
    </w:p>
    <w:p w14:paraId="2AAFC5B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7）组织开展损害评估等后期工作。</w:t>
      </w:r>
    </w:p>
    <w:p w14:paraId="06BD322D">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8）接受上级领导部门交办任务。</w:t>
      </w:r>
    </w:p>
    <w:p w14:paraId="7FDC461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3.2.2.2 现场处置组</w:t>
      </w:r>
    </w:p>
    <w:p w14:paraId="6CF9407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长：副镇长</w:t>
      </w:r>
    </w:p>
    <w:p w14:paraId="2136797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员：副镇长、村镇建设服务中心副主任</w:t>
      </w:r>
    </w:p>
    <w:p w14:paraId="67F2B97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1A30344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1）根据突发环境事件的性质、社会危害程度、可控性和影响范围，明确应对应急处置工作方案。</w:t>
      </w:r>
    </w:p>
    <w:p w14:paraId="25763F26">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2）制定人员搜救方案，指导现场处置人员的安全防护和遇险人员自救，清点、寻找事件现场内涉险人员，并将其从危险区疏散撤离。</w:t>
      </w:r>
    </w:p>
    <w:p w14:paraId="1C0CA38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3）迅速组织切断污染源，分析污染途径，明确防止污染物扩散的路径；组织采取有效措施。对风险物质收集为主，开展围堵、疏导、收集的应急处置工作。</w:t>
      </w:r>
    </w:p>
    <w:p w14:paraId="1957776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4）消除或减轻已经造成的污染，明确不同情况下的现场处置人员须采取的个人防护措施。</w:t>
      </w:r>
    </w:p>
    <w:p w14:paraId="025F6F2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5）实施持续有序高效组织开展突发环境事件影响区域的应急处置工作。</w:t>
      </w:r>
    </w:p>
    <w:p w14:paraId="763DF55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6）完成应急指挥部交办的其他任务。</w:t>
      </w:r>
    </w:p>
    <w:p w14:paraId="72A4CE9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3.2.2.3 综合协调组</w:t>
      </w:r>
    </w:p>
    <w:p w14:paraId="45CD5E7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长：副书记</w:t>
      </w:r>
    </w:p>
    <w:p w14:paraId="3DBA33F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员：平安法治办主任、村镇建设服务中心职工</w:t>
      </w:r>
    </w:p>
    <w:p w14:paraId="158409C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4F41B105">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1</w:t>
      </w:r>
      <w:r>
        <w:rPr>
          <w:rFonts w:hint="eastAsia" w:ascii="宋体" w:hAnsi="宋体" w:eastAsia="宋体" w:cs="宋体"/>
          <w:color w:val="auto"/>
          <w:sz w:val="28"/>
          <w:szCs w:val="28"/>
          <w:lang w:val="en-US" w:eastAsia="zh-CN"/>
        </w:rPr>
        <w:t>）负责事发现场相关信息的收集、汇总、处理，组织编制环境事件报告。</w:t>
      </w:r>
    </w:p>
    <w:p w14:paraId="4992BA3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highlight w:val="none"/>
          <w:lang w:val="en-US" w:eastAsia="zh-CN"/>
        </w:rPr>
      </w:pPr>
      <w:r>
        <w:rPr>
          <w:rFonts w:hint="default" w:ascii="宋体" w:hAnsi="宋体" w:eastAsia="宋体" w:cs="宋体"/>
          <w:color w:val="auto"/>
          <w:sz w:val="28"/>
          <w:szCs w:val="28"/>
          <w:lang w:val="en-US" w:eastAsia="zh-CN"/>
        </w:rPr>
        <w:t>2</w:t>
      </w:r>
      <w:r>
        <w:rPr>
          <w:rFonts w:hint="eastAsia" w:ascii="宋体" w:hAnsi="宋体" w:eastAsia="宋体" w:cs="宋体"/>
          <w:color w:val="auto"/>
          <w:sz w:val="28"/>
          <w:szCs w:val="28"/>
          <w:lang w:val="en-US" w:eastAsia="zh-CN"/>
        </w:rPr>
        <w:t>）及时向区政府和上级主管部门报送信息，</w:t>
      </w:r>
      <w:r>
        <w:rPr>
          <w:rFonts w:hint="eastAsia" w:ascii="宋体" w:hAnsi="宋体" w:eastAsia="宋体" w:cs="宋体"/>
          <w:color w:val="auto"/>
          <w:sz w:val="28"/>
          <w:szCs w:val="28"/>
          <w:highlight w:val="none"/>
          <w:lang w:val="en-US" w:eastAsia="zh-CN"/>
        </w:rPr>
        <w:t>协调区、街道的环境应急处置力量。</w:t>
      </w:r>
    </w:p>
    <w:p w14:paraId="16D7AC7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3</w:t>
      </w:r>
      <w:r>
        <w:rPr>
          <w:rFonts w:hint="eastAsia" w:ascii="宋体" w:hAnsi="宋体" w:eastAsia="宋体" w:cs="宋体"/>
          <w:color w:val="auto"/>
          <w:sz w:val="28"/>
          <w:szCs w:val="28"/>
          <w:lang w:val="en-US" w:eastAsia="zh-CN"/>
        </w:rPr>
        <w:t>）负责保持与各单位（部门）的信息联络工作</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负责制定应急供水保障方案；负责指导供水单位启动深度处 理设施或备用水源以及应急供水车等措施，保障居民用水；</w:t>
      </w:r>
    </w:p>
    <w:p w14:paraId="2FBDC2B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4</w:t>
      </w:r>
      <w:r>
        <w:rPr>
          <w:rFonts w:hint="eastAsia" w:ascii="宋体" w:hAnsi="宋体" w:eastAsia="宋体" w:cs="宋体"/>
          <w:color w:val="auto"/>
          <w:sz w:val="28"/>
          <w:szCs w:val="28"/>
          <w:lang w:val="en-US" w:eastAsia="zh-CN"/>
        </w:rPr>
        <w:t>）对预警、应急处置、事件调查、信息报送、信息通报、信息发布等工作进行统筹协调、指挥调度、督促落实。</w:t>
      </w:r>
    </w:p>
    <w:p w14:paraId="67CAE01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5</w:t>
      </w:r>
      <w:r>
        <w:rPr>
          <w:rFonts w:hint="eastAsia" w:ascii="宋体" w:hAnsi="宋体" w:eastAsia="宋体" w:cs="宋体"/>
          <w:color w:val="auto"/>
          <w:sz w:val="28"/>
          <w:szCs w:val="28"/>
          <w:lang w:val="en-US" w:eastAsia="zh-CN"/>
        </w:rPr>
        <w:t>）组织做好环境应急救援物资及临时安置重要物资的紧急储备调拨和紧急配送工作。</w:t>
      </w:r>
    </w:p>
    <w:p w14:paraId="399043F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6）及时组织调运生活必需品，保障事件区域附近群众基本生活和市场供应。</w:t>
      </w:r>
    </w:p>
    <w:p w14:paraId="046C8B6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7）组织开展应急工作的信息发布工作，加强新闻宣传。收集分析舆情和社会公众动态，及时澄清不实信息，回应社会关切。加强媒体、电信和互联网的管理，正确引导舆论。</w:t>
      </w:r>
    </w:p>
    <w:p w14:paraId="2679457B">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w:t>
      </w:r>
      <w:r>
        <w:rPr>
          <w:rFonts w:hint="default" w:ascii="宋体" w:hAnsi="宋体" w:eastAsia="宋体" w:cs="宋体"/>
          <w:color w:val="auto"/>
          <w:sz w:val="28"/>
          <w:szCs w:val="28"/>
          <w:lang w:val="en-US" w:eastAsia="zh-CN"/>
        </w:rPr>
        <w:t>）突发环境事件处置工作结束后，负责开展善后处置工作，包括人员安置、抚恤补偿、保险理赔、医疗补助、征用补偿、救援物资供应、环境污染消除、污染源监控和治理等措施</w:t>
      </w:r>
    </w:p>
    <w:p w14:paraId="045F892A">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9</w:t>
      </w:r>
      <w:r>
        <w:rPr>
          <w:rFonts w:hint="default" w:ascii="宋体" w:hAnsi="宋体" w:eastAsia="宋体" w:cs="宋体"/>
          <w:color w:val="auto"/>
          <w:sz w:val="28"/>
          <w:szCs w:val="28"/>
          <w:lang w:val="en-US" w:eastAsia="zh-CN"/>
        </w:rPr>
        <w:t>）防止事件造成次生、衍生危害，尽快恢复正常秩序，确保社会稳定。</w:t>
      </w:r>
    </w:p>
    <w:p w14:paraId="3A32745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10）完成应急指挥部交办的其他任务。</w:t>
      </w:r>
    </w:p>
    <w:p w14:paraId="0DBD9EE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3"/>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3.2.2.4 警戒疏散组</w:t>
      </w:r>
    </w:p>
    <w:p w14:paraId="166D335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  长：温泉镇派出所所长</w:t>
      </w:r>
    </w:p>
    <w:p w14:paraId="24A217F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  员：综合执法大队队长、平安法治办副主任</w:t>
      </w:r>
    </w:p>
    <w:p w14:paraId="42D62B1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主要职责：</w:t>
      </w:r>
    </w:p>
    <w:p w14:paraId="669D8FA4">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根据突发环境事件的污染物种类、性质以及当地气象、自然、社会环境状况等，配合区政府、区生态环境局或专家等明确相应的应急监测方案及监测方法，协调、配合监测单位开展应急监测，及时为突发环境事件应急决策提供依据。</w:t>
      </w:r>
    </w:p>
    <w:p w14:paraId="3D786DE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2）依据现场监测的情况，为事件区域设置警戒区域提供科学依据，并划定现场警戒和交通管制区域，确定重点防护区域。</w:t>
      </w:r>
    </w:p>
    <w:p w14:paraId="5F6CAAF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3）确定受威胁人员疏散的方式和途径，疏散转移受威胁人员至紧急避险场所。</w:t>
      </w:r>
    </w:p>
    <w:p w14:paraId="2DB7DB6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4）及时组织开展伤病员医疗救治、应急心理援助，将人员伤害降低到最小，协助开展受污染人员的卫生防疫工作。</w:t>
      </w:r>
    </w:p>
    <w:p w14:paraId="00B4B14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5）负责事件现场警戒，及时对无关人员疏散，疏通消防通道，确保消防、医疗救护车辆能抵达事件现场。</w:t>
      </w:r>
    </w:p>
    <w:p w14:paraId="143CBAD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6）维护事件现场治安秩序，确保事件应急救援工作顺利开展。</w:t>
      </w:r>
    </w:p>
    <w:p w14:paraId="55AD6E6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7）完成应急指挥部交办的其他任务。</w:t>
      </w:r>
    </w:p>
    <w:p w14:paraId="38F45D4A">
      <w:pPr>
        <w:rPr>
          <w:rStyle w:val="17"/>
          <w:rFonts w:hint="eastAsia" w:ascii="宋体" w:hAnsi="宋体" w:eastAsia="宋体" w:cs="宋体"/>
          <w:b/>
          <w:bCs/>
          <w:color w:val="000000"/>
          <w:sz w:val="32"/>
          <w:szCs w:val="32"/>
          <w:lang w:val="en-US" w:eastAsia="zh-CN"/>
        </w:rPr>
      </w:pPr>
      <w:bookmarkStart w:id="40" w:name="_Toc386313017"/>
      <w:bookmarkStart w:id="41" w:name="_Toc403343074"/>
      <w:bookmarkStart w:id="42" w:name="_Toc18923"/>
      <w:r>
        <w:rPr>
          <w:rStyle w:val="17"/>
          <w:rFonts w:hint="eastAsia" w:ascii="宋体" w:hAnsi="宋体" w:eastAsia="宋体" w:cs="宋体"/>
          <w:b/>
          <w:bCs/>
          <w:color w:val="000000"/>
          <w:sz w:val="32"/>
          <w:szCs w:val="32"/>
          <w:lang w:val="en-US" w:eastAsia="zh-CN"/>
        </w:rPr>
        <w:br w:type="page"/>
      </w:r>
    </w:p>
    <w:bookmarkEnd w:id="40"/>
    <w:bookmarkEnd w:id="41"/>
    <w:bookmarkEnd w:id="42"/>
    <w:p w14:paraId="2E5FEC5D">
      <w:pPr>
        <w:pStyle w:val="13"/>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7"/>
          <w:rFonts w:hint="default" w:ascii="宋体" w:hAnsi="宋体" w:eastAsia="宋体" w:cs="宋体"/>
          <w:b/>
          <w:bCs/>
          <w:color w:val="000000"/>
          <w:sz w:val="32"/>
          <w:szCs w:val="32"/>
          <w:lang w:val="en-US" w:eastAsia="zh-CN"/>
        </w:rPr>
      </w:pPr>
      <w:bookmarkStart w:id="43" w:name="_Toc13839"/>
      <w:bookmarkStart w:id="44" w:name="_Toc581"/>
      <w:bookmarkStart w:id="45" w:name="_Toc981"/>
      <w:bookmarkStart w:id="46" w:name="_Toc9732"/>
      <w:r>
        <w:rPr>
          <w:rStyle w:val="17"/>
          <w:rFonts w:hint="eastAsia" w:ascii="宋体" w:hAnsi="宋体" w:eastAsia="宋体" w:cs="宋体"/>
          <w:b/>
          <w:bCs/>
          <w:color w:val="000000"/>
          <w:sz w:val="32"/>
          <w:szCs w:val="32"/>
          <w:lang w:val="en-US" w:eastAsia="zh-CN"/>
        </w:rPr>
        <w:t>4</w:t>
      </w:r>
      <w:r>
        <w:rPr>
          <w:rStyle w:val="17"/>
          <w:rFonts w:hint="eastAsia" w:ascii="宋体" w:hAnsi="宋体" w:cs="宋体"/>
          <w:b/>
          <w:bCs/>
          <w:color w:val="000000"/>
          <w:sz w:val="32"/>
          <w:szCs w:val="32"/>
          <w:lang w:val="en-US" w:eastAsia="zh-CN"/>
        </w:rPr>
        <w:t xml:space="preserve"> </w:t>
      </w:r>
      <w:r>
        <w:rPr>
          <w:rStyle w:val="17"/>
          <w:rFonts w:hint="eastAsia" w:cs="宋体"/>
          <w:b/>
          <w:bCs/>
          <w:color w:val="000000"/>
          <w:sz w:val="32"/>
          <w:szCs w:val="32"/>
          <w:lang w:val="en-US" w:eastAsia="zh-CN"/>
        </w:rPr>
        <w:t>应急响应</w:t>
      </w:r>
      <w:bookmarkEnd w:id="43"/>
    </w:p>
    <w:p w14:paraId="2B78A8E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rPr>
          <w:rFonts w:hint="default" w:ascii="宋体" w:hAnsi="宋体" w:eastAsia="宋体" w:cs="宋体"/>
          <w:color w:val="auto"/>
          <w:sz w:val="28"/>
          <w:szCs w:val="28"/>
          <w:lang w:val="en-US" w:eastAsia="zh-CN"/>
        </w:rPr>
      </w:pPr>
      <w:r>
        <w:rPr>
          <w:rFonts w:hint="eastAsia" w:cs="宋体"/>
          <w:color w:val="auto"/>
          <w:sz w:val="28"/>
          <w:szCs w:val="28"/>
          <w:lang w:val="en-US" w:eastAsia="zh-CN"/>
        </w:rPr>
        <w:t>开州区温泉镇东河温泉供水站水源地</w:t>
      </w:r>
      <w:r>
        <w:rPr>
          <w:rFonts w:hint="eastAsia" w:ascii="宋体" w:hAnsi="宋体" w:eastAsia="宋体" w:cs="宋体"/>
          <w:color w:val="auto"/>
          <w:sz w:val="28"/>
          <w:szCs w:val="28"/>
          <w:lang w:val="en-US" w:eastAsia="zh-CN"/>
        </w:rPr>
        <w:t>突发环境事件应急响应程序包括信息收集和研判、预警、信息报告与通报、事态研判、应急监测、污染源排查与处置、应急处置、物资调集及应急设施启用、舆情监测与信息发布、响应终止等工作内容。主要应急响应流程图见图4.1-1。</w:t>
      </w:r>
    </w:p>
    <w:p w14:paraId="336345E0">
      <w:pPr>
        <w:pStyle w:val="19"/>
        <w:rPr>
          <w:rFonts w:hint="eastAsia"/>
          <w:lang w:val="en-US" w:eastAsia="zh-CN"/>
        </w:rPr>
      </w:pPr>
      <w:r>
        <w:rPr>
          <w:rFonts w:hint="default" w:ascii="Times New Roman" w:hAnsi="Times New Roman" w:eastAsia="宋体" w:cs="Times New Roman"/>
          <w:color w:val="000000"/>
          <w:kern w:val="2"/>
          <w:sz w:val="21"/>
          <w:szCs w:val="24"/>
          <w:lang w:val="en-US" w:eastAsia="zh-CN" w:bidi="ar-SA"/>
        </w:rPr>
        <w:drawing>
          <wp:anchor distT="0" distB="0" distL="114300" distR="114300" simplePos="0" relativeHeight="251680768" behindDoc="0" locked="0" layoutInCell="1" allowOverlap="1">
            <wp:simplePos x="0" y="0"/>
            <wp:positionH relativeFrom="column">
              <wp:posOffset>-20320</wp:posOffset>
            </wp:positionH>
            <wp:positionV relativeFrom="paragraph">
              <wp:posOffset>0</wp:posOffset>
            </wp:positionV>
            <wp:extent cx="5788660" cy="6143625"/>
            <wp:effectExtent l="0" t="0" r="2540" b="9525"/>
            <wp:wrapTopAndBottom/>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6"/>
                    <a:stretch>
                      <a:fillRect/>
                    </a:stretch>
                  </pic:blipFill>
                  <pic:spPr>
                    <a:xfrm>
                      <a:off x="0" y="0"/>
                      <a:ext cx="5788660" cy="6143625"/>
                    </a:xfrm>
                    <a:prstGeom prst="rect">
                      <a:avLst/>
                    </a:prstGeom>
                    <a:noFill/>
                    <a:ln>
                      <a:noFill/>
                    </a:ln>
                  </pic:spPr>
                </pic:pic>
              </a:graphicData>
            </a:graphic>
          </wp:anchor>
        </w:drawing>
      </w:r>
    </w:p>
    <w:p w14:paraId="439F17E4">
      <w:pPr>
        <w:pStyle w:val="20"/>
        <w:spacing w:line="520" w:lineRule="exact"/>
        <w:ind w:firstLine="0" w:firstLineChars="0"/>
        <w:jc w:val="center"/>
        <w:rPr>
          <w:rFonts w:hint="eastAsia" w:ascii="宋体" w:hAnsi="宋体" w:cs="Times New Roman"/>
          <w:b/>
          <w:bCs/>
          <w:sz w:val="24"/>
          <w:lang w:val="en-US" w:eastAsia="zh-CN"/>
        </w:rPr>
      </w:pPr>
      <w:r>
        <w:rPr>
          <w:rFonts w:hint="eastAsia" w:ascii="宋体" w:hAnsi="宋体" w:cs="Times New Roman"/>
          <w:b/>
          <w:bCs/>
          <w:sz w:val="24"/>
          <w:lang w:val="en-US" w:eastAsia="zh-CN"/>
        </w:rPr>
        <w:t>图4.1-1 应急响应流程图</w:t>
      </w:r>
    </w:p>
    <w:p w14:paraId="63571EC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47" w:name="_Toc186122732"/>
      <w:bookmarkStart w:id="48" w:name="_Toc186123037"/>
      <w:bookmarkStart w:id="49" w:name="_Toc186124190"/>
      <w:bookmarkStart w:id="50" w:name="_Toc4623"/>
      <w:bookmarkStart w:id="51" w:name="_Toc30252"/>
      <w:bookmarkStart w:id="52" w:name="_Toc186125025"/>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.1</w:t>
      </w:r>
      <w:r>
        <w:rPr>
          <w:rFonts w:hint="eastAsia" w:ascii="宋体" w:hAnsi="宋体" w:cs="宋体"/>
          <w:b/>
          <w:bCs/>
          <w:color w:val="000000"/>
          <w:sz w:val="28"/>
          <w:szCs w:val="28"/>
          <w:lang w:val="en-US" w:eastAsia="zh-CN"/>
        </w:rPr>
        <w:t xml:space="preserve"> </w:t>
      </w:r>
      <w:r>
        <w:rPr>
          <w:rFonts w:hint="eastAsia" w:ascii="宋体" w:hAnsi="宋体" w:eastAsia="宋体" w:cs="宋体"/>
          <w:b/>
          <w:bCs/>
          <w:color w:val="000000"/>
          <w:sz w:val="28"/>
          <w:szCs w:val="28"/>
          <w:lang w:val="en-US" w:eastAsia="zh-CN"/>
        </w:rPr>
        <w:t>信息收集与研判</w:t>
      </w:r>
      <w:bookmarkEnd w:id="47"/>
      <w:bookmarkEnd w:id="48"/>
      <w:bookmarkEnd w:id="49"/>
      <w:bookmarkEnd w:id="50"/>
      <w:bookmarkEnd w:id="51"/>
      <w:bookmarkEnd w:id="52"/>
    </w:p>
    <w:p w14:paraId="6CD7E095">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.1.1 信息收集</w:t>
      </w:r>
    </w:p>
    <w:p w14:paraId="1360E5C0">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信息来源包括但不限于以下途径：通过流域、水源地或供水单位开展的水质监督性监测（常规断面）、在线监测（常规和预警监控断面）等日常监管渠道获取水质异常信息，也可以通过水文气象、地质灾害、污染源排放等信息开展水质预测预警，获取水质异常信息；通过水源地上游及周边主要风险源监控获取异常排放信息、相关部门报告、群众举报获取事故信息；通过各部门之间以及饮用水水源地上下游相邻</w:t>
      </w:r>
      <w:r>
        <w:rPr>
          <w:rFonts w:hint="eastAsia" w:ascii="宋体" w:hAnsi="宋体" w:cs="宋体"/>
          <w:color w:val="auto"/>
          <w:sz w:val="28"/>
          <w:szCs w:val="28"/>
          <w:lang w:val="en-US" w:eastAsia="zh-CN"/>
        </w:rPr>
        <w:t>镇</w:t>
      </w:r>
      <w:r>
        <w:rPr>
          <w:rFonts w:hint="eastAsia" w:ascii="宋体" w:hAnsi="宋体" w:eastAsia="宋体" w:cs="宋体"/>
          <w:color w:val="auto"/>
          <w:sz w:val="28"/>
          <w:szCs w:val="28"/>
          <w:lang w:val="en-US" w:eastAsia="zh-CN"/>
        </w:rPr>
        <w:t>人民政府</w:t>
      </w:r>
      <w:r>
        <w:rPr>
          <w:rFonts w:hint="eastAsia" w:ascii="宋体" w:hAnsi="宋体" w:cs="宋体"/>
          <w:color w:val="auto"/>
          <w:sz w:val="28"/>
          <w:szCs w:val="28"/>
          <w:lang w:val="en-US" w:eastAsia="zh-CN"/>
        </w:rPr>
        <w:t>（街道办事处）</w:t>
      </w:r>
      <w:r>
        <w:rPr>
          <w:rFonts w:hint="eastAsia" w:ascii="宋体" w:hAnsi="宋体" w:eastAsia="宋体" w:cs="宋体"/>
          <w:color w:val="auto"/>
          <w:sz w:val="28"/>
          <w:szCs w:val="28"/>
          <w:lang w:val="en-US" w:eastAsia="zh-CN"/>
        </w:rPr>
        <w:t>之间建立的信息收集与共享渠道，获取突发环境事件信息。</w:t>
      </w:r>
    </w:p>
    <w:p w14:paraId="3261D8FF">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.1.2 信息研判与会商</w:t>
      </w:r>
    </w:p>
    <w:p w14:paraId="4E4DE2A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53" w:name="_Toc186124191"/>
      <w:bookmarkStart w:id="54" w:name="_Toc186122733"/>
      <w:bookmarkStart w:id="55" w:name="_Toc186125026"/>
      <w:bookmarkStart w:id="56" w:name="_Toc186123038"/>
      <w:r>
        <w:rPr>
          <w:rFonts w:hint="eastAsia" w:ascii="宋体" w:hAnsi="宋体" w:eastAsia="宋体" w:cs="宋体"/>
          <w:color w:val="auto"/>
          <w:sz w:val="28"/>
          <w:szCs w:val="28"/>
          <w:lang w:val="en-US" w:eastAsia="zh-CN"/>
        </w:rPr>
        <w:t>通过群众举报、责任单位报告、相邻</w:t>
      </w:r>
      <w:r>
        <w:rPr>
          <w:rFonts w:hint="eastAsia" w:ascii="宋体" w:hAnsi="宋体" w:cs="宋体"/>
          <w:color w:val="auto"/>
          <w:sz w:val="28"/>
          <w:szCs w:val="28"/>
          <w:lang w:val="en-US" w:eastAsia="zh-CN"/>
        </w:rPr>
        <w:t>镇</w:t>
      </w:r>
      <w:r>
        <w:rPr>
          <w:rFonts w:hint="eastAsia" w:ascii="宋体" w:hAnsi="宋体" w:eastAsia="宋体" w:cs="宋体"/>
          <w:color w:val="auto"/>
          <w:sz w:val="28"/>
          <w:szCs w:val="28"/>
          <w:lang w:val="en-US" w:eastAsia="zh-CN"/>
        </w:rPr>
        <w:t>人民政府</w:t>
      </w:r>
      <w:r>
        <w:rPr>
          <w:rFonts w:hint="eastAsia" w:ascii="宋体" w:hAnsi="宋体" w:cs="宋体"/>
          <w:color w:val="auto"/>
          <w:sz w:val="28"/>
          <w:szCs w:val="28"/>
          <w:lang w:val="en-US" w:eastAsia="zh-CN"/>
        </w:rPr>
        <w:t>（街道办事处）</w:t>
      </w:r>
      <w:r>
        <w:rPr>
          <w:rFonts w:hint="eastAsia" w:ascii="宋体" w:hAnsi="宋体" w:eastAsia="宋体" w:cs="宋体"/>
          <w:color w:val="auto"/>
          <w:sz w:val="28"/>
          <w:szCs w:val="28"/>
          <w:lang w:val="en-US" w:eastAsia="zh-CN"/>
        </w:rPr>
        <w:t>通报等渠道获取突发事件信息后，第一时间开展信息研判和会商，第一时间核实信息真实性，必要时会同相关部门共同开展应急监测或补充调查，核实信息的准确性，收集更全面、更权威的资料信息。</w:t>
      </w:r>
      <w:bookmarkEnd w:id="53"/>
      <w:bookmarkEnd w:id="54"/>
      <w:bookmarkEnd w:id="55"/>
      <w:bookmarkEnd w:id="56"/>
    </w:p>
    <w:p w14:paraId="3224743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57" w:name="_Toc186122734"/>
      <w:bookmarkStart w:id="58" w:name="_Toc186125027"/>
      <w:bookmarkStart w:id="59" w:name="_Toc186124192"/>
      <w:bookmarkStart w:id="60" w:name="_Toc186123039"/>
      <w:r>
        <w:rPr>
          <w:rFonts w:hint="eastAsia" w:ascii="宋体" w:hAnsi="宋体" w:eastAsia="宋体" w:cs="宋体"/>
          <w:color w:val="auto"/>
          <w:sz w:val="28"/>
          <w:szCs w:val="28"/>
          <w:lang w:val="en-US" w:eastAsia="zh-CN"/>
        </w:rPr>
        <w:t>初步研判发生重大、特别重大突发环境事件，由市政府牵头应对，区政府配合。初步研判发生一般、较大突发环境事件，由区政府负责应对。</w:t>
      </w:r>
      <w:bookmarkEnd w:id="57"/>
      <w:bookmarkEnd w:id="58"/>
      <w:bookmarkEnd w:id="59"/>
      <w:bookmarkEnd w:id="60"/>
    </w:p>
    <w:p w14:paraId="70D81831">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61" w:name="_Toc26651"/>
      <w:r>
        <w:rPr>
          <w:rFonts w:hint="eastAsia" w:ascii="宋体" w:hAnsi="宋体" w:eastAsia="宋体" w:cs="宋体"/>
          <w:b/>
          <w:bCs/>
          <w:color w:val="000000"/>
          <w:sz w:val="28"/>
          <w:szCs w:val="28"/>
          <w:lang w:val="en-US" w:eastAsia="zh-CN"/>
        </w:rPr>
        <w:t>4.</w:t>
      </w:r>
      <w:r>
        <w:rPr>
          <w:rFonts w:hint="eastAsia" w:ascii="宋体" w:hAnsi="宋体" w:cs="宋体"/>
          <w:b/>
          <w:bCs/>
          <w:color w:val="000000"/>
          <w:sz w:val="28"/>
          <w:szCs w:val="28"/>
          <w:lang w:val="en-US" w:eastAsia="zh-CN"/>
        </w:rPr>
        <w:t>2</w:t>
      </w:r>
      <w:r>
        <w:rPr>
          <w:rFonts w:hint="eastAsia" w:ascii="宋体" w:hAnsi="宋体" w:eastAsia="宋体" w:cs="宋体"/>
          <w:b/>
          <w:bCs/>
          <w:color w:val="000000"/>
          <w:sz w:val="28"/>
          <w:szCs w:val="28"/>
          <w:lang w:val="en-US" w:eastAsia="zh-CN"/>
        </w:rPr>
        <w:t xml:space="preserve"> </w:t>
      </w:r>
      <w:bookmarkStart w:id="62" w:name="_Toc186124151"/>
      <w:bookmarkStart w:id="63" w:name="_Toc186124976"/>
      <w:bookmarkStart w:id="64" w:name="_Toc186122991"/>
      <w:r>
        <w:rPr>
          <w:rFonts w:hint="eastAsia" w:ascii="宋体" w:hAnsi="宋体" w:eastAsia="宋体" w:cs="宋体"/>
          <w:b/>
          <w:bCs/>
          <w:color w:val="000000"/>
          <w:sz w:val="28"/>
          <w:szCs w:val="28"/>
          <w:lang w:val="en-US" w:eastAsia="zh-CN"/>
        </w:rPr>
        <w:t>预警</w:t>
      </w:r>
      <w:bookmarkEnd w:id="61"/>
      <w:bookmarkEnd w:id="62"/>
      <w:bookmarkEnd w:id="63"/>
      <w:bookmarkEnd w:id="64"/>
    </w:p>
    <w:p w14:paraId="3CD81B97">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预警分级</w:t>
      </w:r>
    </w:p>
    <w:p w14:paraId="36089B5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按照开州区的要求</w:t>
      </w:r>
      <w:r>
        <w:rPr>
          <w:rFonts w:hint="eastAsia" w:ascii="宋体" w:hAnsi="宋体" w:eastAsia="宋体" w:cs="宋体"/>
          <w:color w:val="auto"/>
          <w:sz w:val="28"/>
          <w:szCs w:val="28"/>
          <w:lang w:val="en-US" w:eastAsia="zh-CN"/>
        </w:rPr>
        <w:t>，水源地突发环境事件的预警级别由低到高分为橙色和红色两级。</w:t>
      </w:r>
    </w:p>
    <w:p w14:paraId="1E68C98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橙色预警：当污染物迁移至水源地应急预案适用范围，但水源地保护区或其上游连接水体尚未受到污染，</w:t>
      </w:r>
      <w:r>
        <w:rPr>
          <w:rFonts w:hint="eastAsia" w:cs="宋体"/>
          <w:color w:val="auto"/>
          <w:sz w:val="28"/>
          <w:szCs w:val="28"/>
          <w:lang w:val="en-US" w:eastAsia="zh-CN"/>
        </w:rPr>
        <w:t>或</w:t>
      </w:r>
      <w:r>
        <w:rPr>
          <w:rFonts w:hint="eastAsia" w:ascii="宋体" w:hAnsi="宋体" w:eastAsia="宋体" w:cs="宋体"/>
          <w:color w:val="auto"/>
          <w:sz w:val="28"/>
          <w:szCs w:val="28"/>
          <w:lang w:val="en-US" w:eastAsia="zh-CN"/>
        </w:rPr>
        <w:t>污染物已进入水源保护区上游连接水体，研判认为对水源地水质影响可能较小、可能不影响取水时，为橙色预警。</w:t>
      </w:r>
    </w:p>
    <w:p w14:paraId="5CE48FE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红色预警：当污染物已进入（或出现在）水源地保护区或其上游连接水体，研判认为对水源地水质影响可能较大时、可能影响取水时，为红色预警。</w:t>
      </w:r>
    </w:p>
    <w:p w14:paraId="18C43D7F">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上述分级标准中，生态环境部、市生态环境局、区生态环境局及有关部门有规定的，从其规定。对特殊的突发环境事件，可能演化为重大、特别重大事故的，不受分级标准限制。</w:t>
      </w:r>
    </w:p>
    <w:p w14:paraId="437AAB2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4.2.2 预警的启动条件</w:t>
      </w:r>
    </w:p>
    <w:p w14:paraId="0EAE8667">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2.1</w:t>
      </w:r>
      <w:r>
        <w:rPr>
          <w:rFonts w:hint="eastAsia" w:ascii="宋体" w:hAnsi="宋体" w:eastAsia="宋体" w:cs="宋体"/>
          <w:color w:val="auto"/>
          <w:sz w:val="28"/>
          <w:szCs w:val="28"/>
          <w:lang w:val="en-US" w:eastAsia="zh-CN"/>
        </w:rPr>
        <w:t xml:space="preserve"> 橙色预警启动条件</w:t>
      </w:r>
    </w:p>
    <w:p w14:paraId="7A3D99F7">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ascii="Times New Roman" w:hAnsi="Times New Roman" w:eastAsia="方正仿宋_GBK"/>
          <w:kern w:val="0"/>
          <w:sz w:val="32"/>
          <w:szCs w:val="32"/>
        </w:rPr>
      </w:pPr>
      <w:r>
        <w:rPr>
          <w:rFonts w:hint="eastAsia" w:ascii="宋体" w:hAnsi="宋体" w:eastAsia="宋体" w:cs="宋体"/>
          <w:color w:val="auto"/>
          <w:sz w:val="28"/>
          <w:szCs w:val="28"/>
          <w:lang w:val="en-US" w:eastAsia="zh-CN"/>
        </w:rPr>
        <w:t>接到上级指令或信息通报后，虽污染物未迁移至水源地应急预案适用范围，但污染物已进入水源保护区上游连接水体，经研判认为对水源地水质可能造成污染，不影响取水；通过信息报告发现，污染物已扩散至距水源保护区上游连接水体的直线距离不足1千米的陆域或水域；污染物已进入水源保护区上游连接水体，经研判认为对水源地水质影响可能较小、可能不影响取水。</w:t>
      </w:r>
    </w:p>
    <w:p w14:paraId="17CC76E3">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.2 红色预警启动条件</w:t>
      </w:r>
    </w:p>
    <w:p w14:paraId="47B220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接到上级指令或信息通报后，</w:t>
      </w:r>
      <w:r>
        <w:rPr>
          <w:rFonts w:hint="eastAsia" w:cs="宋体"/>
          <w:color w:val="auto"/>
          <w:sz w:val="28"/>
          <w:szCs w:val="28"/>
          <w:lang w:val="en-US" w:eastAsia="zh-CN"/>
        </w:rPr>
        <w:t>虽然</w:t>
      </w:r>
      <w:r>
        <w:rPr>
          <w:rFonts w:hint="eastAsia" w:ascii="宋体" w:hAnsi="宋体" w:eastAsia="宋体" w:cs="宋体"/>
          <w:color w:val="auto"/>
          <w:sz w:val="28"/>
          <w:szCs w:val="28"/>
          <w:lang w:val="en-US" w:eastAsia="zh-CN"/>
        </w:rPr>
        <w:t>污染物未迁移至水源地应急预案适用的地域范围内，但污染物已进入水源保护区上游连接水体，研判认为对饮用水水源地水质有影响，可能影响取水；通过信息报告发现，在水源地一级、二级保护区内发生突发环境事件；通过信息报告发现，在二级保护区上游汇水区域4小时流程范围内发生固定源或流动源突发环境事件，或污染物已扩散至距水源保护区上游连接水体的直线距离不足100米的陆域或水域；通过信息报告发现，在二级保护区上游汇水区域8小时流程范围内发生固定源或流动源突发环境事件，或污染物已扩散至距水源保护区上游连接水体的直线距离不足200米的陆域或水域，经水质监测和信息研判，判断污染物迁移至取水口位置时，相应指标浓度仍会超标的；通过监测发现，水源保护区或其上游连接水体理化指标异常〔主要包括：在二级保护区内，出现自动站水质监测指标超标或生物综合毒性异常，经实验室监（复）测确认的；在二级保护区上游8小时流程范围内，出现水质监测指标、有毒有害物质或生物综合毒性异常，且污染物浓度持续升高的；在二级保护区上游4小时流程范围内，出现水质监测指标、有毒有害物质或生物综合毒性异常的〕；通过监测发现，水源保护区或其上游连接水体感官性状异常，即水体出现异常颜色或气味的；通过监测发现，水源保护区或其上游连接水体生态指标异常，即水面出现大面积死鱼或生物综合毒性异常并经实验室监测后确认的。</w:t>
      </w:r>
    </w:p>
    <w:p w14:paraId="187EC6B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4.2.3 发布预警和预警级别调整</w:t>
      </w:r>
    </w:p>
    <w:p w14:paraId="433C3D9C">
      <w:pPr>
        <w:pStyle w:val="5"/>
        <w:keepNext/>
        <w:keepLines/>
        <w:pageBreakBefore w:val="0"/>
        <w:widowControl w:val="0"/>
        <w:kinsoku/>
        <w:wordWrap/>
        <w:overflowPunct/>
        <w:topLinePunct w:val="0"/>
        <w:autoSpaceDE/>
        <w:autoSpaceDN/>
        <w:bidi w:val="0"/>
        <w:adjustRightInd/>
        <w:snapToGrid/>
        <w:spacing w:before="0" w:after="0" w:line="360" w:lineRule="auto"/>
        <w:ind w:firstLine="560" w:firstLineChars="200"/>
        <w:jc w:val="left"/>
        <w:textAlignment w:val="auto"/>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lang w:val="en-US" w:eastAsia="zh-CN"/>
        </w:rPr>
        <w:t>4</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2</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3.1</w:t>
      </w:r>
      <w:r>
        <w:rPr>
          <w:rFonts w:hint="eastAsia" w:asciiTheme="minorEastAsia" w:hAnsiTheme="minorEastAsia" w:eastAsiaTheme="minorEastAsia" w:cstheme="minorEastAsia"/>
          <w:b w:val="0"/>
          <w:bCs w:val="0"/>
          <w:sz w:val="28"/>
          <w:szCs w:val="28"/>
          <w:lang w:eastAsia="zh-CN"/>
        </w:rPr>
        <w:t xml:space="preserve"> 预警发布</w:t>
      </w:r>
    </w:p>
    <w:p w14:paraId="7E4D01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橙色预警和红色预警由区政府及其指定部门发布或上级人民政府及其指定部门发布。</w:t>
      </w:r>
    </w:p>
    <w:p w14:paraId="095BA20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预警发布内容应包括但不限于以下内容：类别、预警级别；事件起止时间、可能影响的范围；应采取的措施和发布机关。</w:t>
      </w:r>
    </w:p>
    <w:p w14:paraId="5290242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预警对象：根据不同的突发水环境事件类型，对组织实施预警行动和应急处置行动的部门和单位发布预警。</w:t>
      </w:r>
    </w:p>
    <w:p w14:paraId="3194EC09">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4.2.3.2 预警调整</w:t>
      </w:r>
    </w:p>
    <w:p w14:paraId="119AEEE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预警信息发布单位应当根据事态的发展情况和采取措施的效果，按照有关规定适时调整预警级别。证明不可能发生突发环境事件或危险已经解除的，预警信息发布单位应当及时宣布解除预警，并停止采取有关措施。</w:t>
      </w:r>
    </w:p>
    <w:p w14:paraId="12D950CD">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 xml:space="preserve"> 预警行动</w:t>
      </w:r>
    </w:p>
    <w:p w14:paraId="041F873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布橙色预警时，预警行动包含但不限于以下内容：通报相关部门或单位及涉事企业突发环境事件信息，指导启动本部门或单位应急预案；各有关部门或单位按照各自职责开展应急监测或做好应急监测准备；启动备用水源调度准备，调集应急处置所需物资装备，做好应急处置的保障工作；按照职责，各有关部门或单位进入待命状态，必要时到达现场开展相关工作；及时准确发布事态最新情况，加强相关舆情监测，做好舆论引导工作等。</w:t>
      </w:r>
    </w:p>
    <w:p w14:paraId="69F6831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布红色预警时，预警行动包含但不限于以下内容：下达启动饮用水水源地应急预案的命令；通知有关单位和人员做好应急准备，进入待命状态，必要时到达现场开展相关工作；通知饮用水水源地供水单位进入待命状态，做好停止取水、深度处理、低压供水或启动备用水源等准备；加强信息监控，核实突发环境事件污染来源、进入水体的污染物种类和总量、污染扩散范围等信息；开展应急监测或做好应急监测准备；做好事件信息上报和通报；调集所需应急物资和设备，做好应急保障；在危险区域设置提示或警告标志；必要时，及时通过媒体向公众发布信息；加强舆情监测、引导和应对工作等。</w:t>
      </w:r>
    </w:p>
    <w:p w14:paraId="37E2DCE0">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.2.5</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预警解除</w:t>
      </w:r>
    </w:p>
    <w:p w14:paraId="2F1D19E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65" w:name="_Toc186125029"/>
      <w:bookmarkStart w:id="66" w:name="_Toc186122736"/>
      <w:bookmarkStart w:id="67" w:name="_Toc186124194"/>
      <w:bookmarkStart w:id="68" w:name="_Toc186123041"/>
      <w:r>
        <w:rPr>
          <w:rFonts w:hint="eastAsia" w:ascii="宋体" w:hAnsi="宋体" w:eastAsia="宋体" w:cs="宋体"/>
          <w:color w:val="auto"/>
          <w:sz w:val="28"/>
          <w:szCs w:val="28"/>
          <w:lang w:val="en-US" w:eastAsia="zh-CN"/>
        </w:rPr>
        <w:t>当引起预警的条件消除和各类隐患排除后，饮用水水源地水质及供水不会受到影响时，由发布预警的单位下达预警解除指令，终止已经采取的有关行动和措施。</w:t>
      </w:r>
      <w:bookmarkEnd w:id="65"/>
      <w:bookmarkEnd w:id="66"/>
      <w:bookmarkEnd w:id="67"/>
      <w:bookmarkEnd w:id="68"/>
    </w:p>
    <w:p w14:paraId="7DE44AF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69" w:name="_Toc186122992"/>
      <w:bookmarkStart w:id="70" w:name="_Toc186124977"/>
      <w:bookmarkStart w:id="71" w:name="_Toc186124152"/>
      <w:bookmarkStart w:id="72" w:name="_Toc25155"/>
      <w:r>
        <w:rPr>
          <w:rFonts w:hint="eastAsia" w:ascii="宋体" w:hAnsi="宋体" w:eastAsia="宋体" w:cs="宋体"/>
          <w:b/>
          <w:bCs/>
          <w:color w:val="000000"/>
          <w:sz w:val="28"/>
          <w:szCs w:val="28"/>
          <w:lang w:val="en-US" w:eastAsia="zh-CN"/>
        </w:rPr>
        <w:t>4.</w:t>
      </w:r>
      <w:r>
        <w:rPr>
          <w:rFonts w:hint="eastAsia" w:ascii="宋体" w:hAnsi="宋体" w:cs="宋体"/>
          <w:b/>
          <w:bCs/>
          <w:color w:val="000000"/>
          <w:sz w:val="28"/>
          <w:szCs w:val="28"/>
          <w:lang w:val="en-US" w:eastAsia="zh-CN"/>
        </w:rPr>
        <w:t>3</w:t>
      </w:r>
      <w:r>
        <w:rPr>
          <w:rFonts w:hint="eastAsia" w:ascii="宋体" w:hAnsi="宋体" w:eastAsia="宋体" w:cs="宋体"/>
          <w:b/>
          <w:bCs/>
          <w:color w:val="000000"/>
          <w:sz w:val="28"/>
          <w:szCs w:val="28"/>
          <w:lang w:val="en-US" w:eastAsia="zh-CN"/>
        </w:rPr>
        <w:t xml:space="preserve"> </w:t>
      </w:r>
      <w:bookmarkEnd w:id="69"/>
      <w:bookmarkEnd w:id="70"/>
      <w:bookmarkEnd w:id="71"/>
      <w:r>
        <w:rPr>
          <w:rFonts w:hint="eastAsia" w:ascii="宋体" w:hAnsi="宋体" w:eastAsia="宋体" w:cs="宋体"/>
          <w:b/>
          <w:bCs/>
          <w:color w:val="000000"/>
          <w:sz w:val="28"/>
          <w:szCs w:val="28"/>
          <w:lang w:val="en-US" w:eastAsia="zh-CN"/>
        </w:rPr>
        <w:t>信息报告与通报</w:t>
      </w:r>
      <w:bookmarkEnd w:id="72"/>
    </w:p>
    <w:p w14:paraId="4F3136C2">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4.3.1 信息报告与通报原则及对象</w:t>
      </w:r>
    </w:p>
    <w:p w14:paraId="310D896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突发环境事件发生后，涉事企业、生产经营者应当立即向区生态环境局（023-52226422）或区政府（023-52012345）报告事态发展情况和先期处置情况。</w:t>
      </w:r>
    </w:p>
    <w:p w14:paraId="670DEDB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温泉镇人民政府在发现或得知水源地突发环境事件信息后，应立即进行核实，了解有关情况。核实后，第一时间向区指挥部办公室等有关部门或单位报告。经核实的水源地突发环境事件，向突发环境事件相关部门或单位进行信息通报。温泉镇人民政府有关部门和单位要采取一切措施尽快掌握情况，30分钟内进行电话报告、1小时内进行书面报告。</w:t>
      </w:r>
    </w:p>
    <w:p w14:paraId="7771E9C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发生突发环境事件后，</w:t>
      </w:r>
      <w:r>
        <w:rPr>
          <w:rFonts w:hint="eastAsia" w:cs="宋体"/>
          <w:color w:val="auto"/>
          <w:sz w:val="28"/>
          <w:szCs w:val="28"/>
          <w:lang w:val="en-US" w:eastAsia="zh-CN"/>
        </w:rPr>
        <w:t>温泉镇人民政府</w:t>
      </w:r>
      <w:r>
        <w:rPr>
          <w:rFonts w:hint="eastAsia" w:ascii="宋体" w:hAnsi="宋体" w:eastAsia="宋体" w:cs="宋体"/>
          <w:color w:val="auto"/>
          <w:sz w:val="28"/>
          <w:szCs w:val="28"/>
          <w:lang w:val="en-US" w:eastAsia="zh-CN"/>
        </w:rPr>
        <w:t>要及时向区生态环境局</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区政府有关部门通报。因生产安全事故、交通事故、自然灾害等引发突发环境事件的，及时向区应急管理、公安、交通</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生态环境局等有关部门通报。</w:t>
      </w:r>
    </w:p>
    <w:p w14:paraId="17001AF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突发环境事件已经或可能涉及相邻行政区域的，应当及时通报相邻行政区域政府。接到相邻行政区域通报的政府应当及时调查了解情况，并按照相关规定报告突发环境事件信息。</w:t>
      </w:r>
    </w:p>
    <w:p w14:paraId="47A4FE09">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4.3.2 信息报告与通报程序及内容</w:t>
      </w:r>
    </w:p>
    <w:p w14:paraId="7DBE2A3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初报。报告内容主要包括水源地突发环境事件的发生时间、地点、信息来源、事件起因和性质、基本过程、主要污染物和数量、监测结果、人员伤亡情况、水源地受影响情况、事件发展趋势、处置情况、拟采取的措施以及下一步工作建议等初步情况。</w:t>
      </w:r>
    </w:p>
    <w:p w14:paraId="71639B4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续报。在初报的基础上，报告事件及有关处置措施的进展情况。</w:t>
      </w:r>
    </w:p>
    <w:p w14:paraId="128052F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终报。在初报、续报的基础上，报告突发环境事件的处置措施、过程和结果等详细情况。</w:t>
      </w:r>
    </w:p>
    <w:p w14:paraId="37AAEE2F">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3" w:name="_Toc3988"/>
      <w:r>
        <w:rPr>
          <w:rFonts w:hint="eastAsia" w:ascii="宋体" w:hAnsi="宋体" w:eastAsia="宋体" w:cs="宋体"/>
          <w:b/>
          <w:bCs/>
          <w:color w:val="000000"/>
          <w:sz w:val="28"/>
          <w:szCs w:val="28"/>
          <w:lang w:val="en-US" w:eastAsia="zh-CN"/>
        </w:rPr>
        <w:t>4.4 事态跟踪研判</w:t>
      </w:r>
      <w:bookmarkEnd w:id="73"/>
    </w:p>
    <w:p w14:paraId="378B222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现场应急指挥部组织开展事态跟踪研判。事态跟踪研判包括但不限于以下内容：事故点下游沿河水利设施工程情况、判断污染物进入河流或水库的数量及种类性质、事故点下游水系分布（包括清洁水情况）、距离水源地取水口的距离和可能对水源地造成的危害，以及备用水源地情况。根据事态跟踪研判的结果，制定和动态调整应急响应有关方案、实施应急监测、污染源排查与处置和应急处置方法。</w:t>
      </w:r>
    </w:p>
    <w:p w14:paraId="4947EA00">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4" w:name="_Toc16945"/>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.5 应急监测</w:t>
      </w:r>
      <w:bookmarkEnd w:id="74"/>
    </w:p>
    <w:p w14:paraId="379572DC">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4.5.1 开展应急监测程序</w:t>
      </w:r>
    </w:p>
    <w:p w14:paraId="0CFAD8D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初期，各有关部门或单位应按照各自职责，根据现场实际情况制定监测方案、设置监测点位（断面）、确定监测频次、组织开展监测、形成监测报告，第一时间向现场应急指挥部报告监测结果和污染浓度变化态势图，并安排人员对突发环境事件监测情况进行全过程记录。</w:t>
      </w:r>
    </w:p>
    <w:p w14:paraId="4C19C8C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事件处置中期，应根据事态发展，如上游来水量、应急处置措施效果等情况，适时调整监测点位（断面）和监测频次。</w:t>
      </w:r>
    </w:p>
    <w:p w14:paraId="4CFE2CA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事件处置末期，应按照现场应急指挥部命令，开展跟踪监测，并向现场应急指挥部提交应急监测总结报告。</w:t>
      </w:r>
    </w:p>
    <w:p w14:paraId="1372BF82">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4.5.2 制定应急监测方案</w:t>
      </w:r>
    </w:p>
    <w:p w14:paraId="1F4AFB7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根据突发事件性质，征询应急专家组意见，编制应急监测方案，内容应包括依据的技术规范、实施人员、布点原则、采样频次和注意事项、监测结果记录和报告方式等。</w:t>
      </w:r>
    </w:p>
    <w:p w14:paraId="7AC5B23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应急监测重点是抓住污染带前峰、峰值位置和浓度变化，对污染带移动过程形成动态监控。当污染来源不明时，应先通过应</w:t>
      </w:r>
    </w:p>
    <w:p w14:paraId="0F9349E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急监测确定特征污染物成分，再进行污染源排查和先期处置。监测范围、布点、频次及监测因子按如下原则进行布置：</w:t>
      </w:r>
    </w:p>
    <w:p w14:paraId="66B613E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（1）监测范围</w:t>
      </w:r>
    </w:p>
    <w:p w14:paraId="02ECB9A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应尽量涵盖水源地突发环境事件的污染范围，并包括事件可能影响区域和污染物本底浓度的监测区域。</w:t>
      </w:r>
    </w:p>
    <w:p w14:paraId="2C9F9A6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（2）监测布点和频次</w:t>
      </w:r>
    </w:p>
    <w:p w14:paraId="16211D5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以突发环境事件发生地点为中心或源头，结合水文和气象条件，在其扩散方向及可能受到影响的水源地位置合理布点，必要时在事故影响区域内水源取水口、农灌区取水口处设置监测点位（断面）。应采取不同点位（断面）相同间隔时间（一般为1小时）同步采样监测方式，动态监控污染带移动过程。</w:t>
      </w:r>
    </w:p>
    <w:p w14:paraId="51D492F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①针对固定源突发环境事件，应对固定源排放口附近水域、下游水源地附近水域进行加密跟踪监测。</w:t>
      </w:r>
    </w:p>
    <w:p w14:paraId="1C4E64F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②针对流动源、非点源突发环境事件，应对事发区域下游水域、下游水源地附近进行加密跟踪监测。</w:t>
      </w:r>
    </w:p>
    <w:p w14:paraId="2D96795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③水华灾害突发事件若发生在一级、二级保护区范围，应对取水口不同水层进行加密跟踪监测。</w:t>
      </w:r>
    </w:p>
    <w:p w14:paraId="3563752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应急监测通常采集瞬时样品，采样量根据分析项目及分析方法确定，采样量还应满足留样要求。污染发生后，应首先采集污染源样品，注意采样的代表性。采样频次主要根据现场污染状况确定。事故刚发生时，采样频次可适当增加，待摸清污染物变化规律后，可减少采样频次。依据不同的环境区域功能和事故发生地的污染实际情况，力求以最低的采样频次，取得最有代表性的样品，既满足反映环境污染程度、范围的要求，又切实可行。</w:t>
      </w:r>
    </w:p>
    <w:p w14:paraId="21E724F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（3）现场采样</w:t>
      </w:r>
    </w:p>
    <w:p w14:paraId="7108087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①根据我区实际，配置常用的现场应急监测仪器设备，如检测试纸、快速检测管和便携式检测仪设备。需要时，配置便携式气相色谱仪、便携式红外光谱仪、便携式气相色谱/质谱分析仪等应急监测仪器。</w:t>
      </w:r>
    </w:p>
    <w:p w14:paraId="1647EF1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②凡具备现场测定条件的监测项目，应尽量进行现场测定，必要时，另采集一份样品送实验室分析测定，以确认现场的定性或定量分析结果。用检测试纸、快速检测管和便携式仪器进行测定时，应至少连续平行测定两侧，以确认现场测定结果。采样频次应考虑污染程度和现场水文条件，按照应急专家组的意见确定。</w:t>
      </w:r>
    </w:p>
    <w:p w14:paraId="1901439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（4）监测项目。监测因子包括pH值、化学需氧量、氨氮、总磷、总氮等。可根据突发环境事件特征，删减或补充相关监测因子。</w:t>
      </w:r>
    </w:p>
    <w:p w14:paraId="0B2F1F7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（5）监测结果与数据报告。应按照有关监测技术规范进行数据处理。监测结果可用定性、半定量或定量方式报出。监测结果可采用电话、传真、快报、简报、监测报告等形式第一时间报告现场应急指挥部。</w:t>
      </w:r>
    </w:p>
    <w:p w14:paraId="0FE37EA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ascii="Times New Roman" w:hAnsi="Times New Roman" w:eastAsia="方正仿宋_GBK"/>
        </w:rPr>
      </w:pPr>
      <w:r>
        <w:rPr>
          <w:rFonts w:hint="eastAsia" w:ascii="宋体" w:hAnsi="宋体" w:eastAsia="宋体" w:cs="宋体"/>
          <w:color w:val="auto"/>
          <w:sz w:val="28"/>
          <w:szCs w:val="28"/>
          <w:lang w:val="en-US" w:eastAsia="zh-CN"/>
        </w:rPr>
        <w:t>（6）监测数据的质量保证。应急监测过程中的样品采集、现场监测、实验室监测、数据统计等环节，都应有质量控制措施，并对应急监测报告实行三级审核。</w:t>
      </w:r>
    </w:p>
    <w:p w14:paraId="587F4E0C">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75" w:name="_Toc186125031"/>
      <w:bookmarkStart w:id="76" w:name="_Toc186122738"/>
      <w:bookmarkStart w:id="77" w:name="_Toc186124196"/>
      <w:bookmarkStart w:id="78" w:name="_Toc186123043"/>
      <w:bookmarkStart w:id="79" w:name="_Toc4315"/>
      <w:r>
        <w:rPr>
          <w:rFonts w:hint="eastAsia" w:ascii="宋体" w:hAnsi="宋体" w:eastAsia="宋体" w:cs="宋体"/>
          <w:b/>
          <w:bCs/>
          <w:color w:val="000000"/>
          <w:sz w:val="28"/>
          <w:szCs w:val="28"/>
          <w:lang w:val="en-US" w:eastAsia="zh-CN"/>
        </w:rPr>
        <w:t>4.6 事故源排查与处置</w:t>
      </w:r>
      <w:bookmarkEnd w:id="75"/>
      <w:bookmarkEnd w:id="76"/>
      <w:bookmarkEnd w:id="77"/>
      <w:bookmarkEnd w:id="78"/>
      <w:bookmarkEnd w:id="79"/>
    </w:p>
    <w:p w14:paraId="44F090B8">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4.6.1 排查对象</w:t>
      </w:r>
    </w:p>
    <w:p w14:paraId="18248F5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水质监测发现异常、污染物来源不确定时，由综合协调组负责开展溯源分析。综合协调组根据应急监测确定特征污染物成分，再结合特征污染物浓度变化、释放总量、释放路径、释放时间，以及当时的水文和气象条件，迅速组织开展事故源排查。针对不同类型污染物的排查重点和对象如下。</w:t>
      </w:r>
    </w:p>
    <w:p w14:paraId="1A36113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（1）有机类、营养盐类污染：重点排查城镇生活污水处理厂、工业企业等的异常情况。</w:t>
      </w:r>
    </w:p>
    <w:p w14:paraId="4EA2BF3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营养盐类污染：重点排查城镇生活污水处理厂、工业企业、畜禽养殖场（户）、农田种植户、农村居民点、医疗场所等，调查污水处理设施运行、养殖废物处理处置、农药化肥施用、农村生活污染、医疗废水处理及消毒设施的异常情况。</w:t>
      </w:r>
    </w:p>
    <w:p w14:paraId="58A1329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（3）细菌类污染：重点排查调查污水处理设施运行、医疗场所等的异常情况。</w:t>
      </w:r>
    </w:p>
    <w:p w14:paraId="7EAD0F1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（4）农药类污染：重点排查农药制造有关的工业企业、果园种植园（户）、农田种植户、农灌退水排放口，调查农药施用和流失的异常情况。</w:t>
      </w:r>
    </w:p>
    <w:p w14:paraId="11979D1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（5）石油类污染：重点排查加油站、运输车辆、运输船舶、油气管线，调查上述企业和单位的异常情况。</w:t>
      </w:r>
    </w:p>
    <w:p w14:paraId="3AB75EA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重金属及其他有毒有害物质污染：重点排查采矿及选矿的工业企业（含化工园区）、尾矿库、危险废物储存单位、危险品仓库和装卸码头、危化品运输船舶、危化品运输车辆等，调查上述企业和单位的异常情况。</w:t>
      </w:r>
    </w:p>
    <w:p w14:paraId="38E223E3">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4.6.2 切断污染源</w:t>
      </w:r>
    </w:p>
    <w:p w14:paraId="0AB8550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涉事企事业单位或其他生产经营者应第一时间启动应急预案，切断固定的、流动的或非点源的污染源或泄漏源，若涉事企事业单位或其他生产经营者无法有效控制污染源，应将污染源信息上报应急处置组，由应急处置组组织实施事故源切断或控制。处置措施主要采取切断污染源、收集和围堵污染物等，包括但不限于以下内容。</w:t>
      </w:r>
    </w:p>
    <w:p w14:paraId="6C12A14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（1）对发生非正常排放或有毒有害物质泄漏的固定源突发环境事件，应尽快采取关闭、封堵、收集、转移等措施，切断污染源或泄漏源。</w:t>
      </w:r>
    </w:p>
    <w:p w14:paraId="363FCD5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（2）对道路交通运输过程中发生的流动源突发事件，可启动路面系统的导流槽、应急池或紧急设置围堰、闸坝等，对污染源进行围堵并收集污染物。</w:t>
      </w:r>
    </w:p>
    <w:p w14:paraId="0D3856D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（3）对水上船舶运输过程中发生的流动源突发事件，主要采取救援打捞、油毡吸附、围油栏等方式，对污染源进行围堵并收集污染物。</w:t>
      </w:r>
    </w:p>
    <w:p w14:paraId="0EE82A3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（4）启动应急收集系统集中收集陆域污染物，设立拦截设施，防止污染物在陆域蔓延，组织有关部门对污染物进行回收处置。</w:t>
      </w:r>
    </w:p>
    <w:p w14:paraId="51FBE52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（5）根据现场事态发展对扩散至水体的污染物进行处置。</w:t>
      </w:r>
    </w:p>
    <w:p w14:paraId="7C0469B5">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80" w:name="_Toc28365"/>
      <w:bookmarkStart w:id="81" w:name="_Toc186125032"/>
      <w:bookmarkStart w:id="82" w:name="_Toc186124197"/>
      <w:bookmarkStart w:id="83" w:name="_Toc6985"/>
      <w:bookmarkStart w:id="84" w:name="_Toc186122739"/>
      <w:bookmarkStart w:id="85" w:name="_Toc186123044"/>
      <w:r>
        <w:rPr>
          <w:rFonts w:hint="eastAsia" w:ascii="宋体" w:hAnsi="宋体" w:cs="宋体"/>
          <w:b/>
          <w:bCs/>
          <w:color w:val="000000"/>
          <w:sz w:val="28"/>
          <w:szCs w:val="28"/>
          <w:lang w:val="en-US" w:eastAsia="zh-CN"/>
        </w:rPr>
        <w:t>4</w:t>
      </w:r>
      <w:r>
        <w:rPr>
          <w:rFonts w:hint="eastAsia" w:ascii="宋体" w:hAnsi="宋体" w:eastAsia="宋体" w:cs="宋体"/>
          <w:b/>
          <w:bCs/>
          <w:color w:val="000000"/>
          <w:sz w:val="28"/>
          <w:szCs w:val="28"/>
          <w:lang w:val="en-US" w:eastAsia="zh-CN"/>
        </w:rPr>
        <w:t>.7 应急处置</w:t>
      </w:r>
      <w:bookmarkEnd w:id="80"/>
      <w:bookmarkEnd w:id="81"/>
      <w:bookmarkEnd w:id="82"/>
      <w:bookmarkEnd w:id="83"/>
      <w:bookmarkEnd w:id="84"/>
      <w:bookmarkEnd w:id="85"/>
    </w:p>
    <w:p w14:paraId="02BD70EE">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4.7.1 制定现场处置方案</w:t>
      </w:r>
    </w:p>
    <w:p w14:paraId="6DB11F1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现场应急指挥部应根据污染特征，结合专家组意见，尽快制定现场处置方案。现场处置方案包括但不限于以下内容：应急监测、污染处置措施、物资调集、应急队伍和人员安排、供水单位应对等。采取拦截、导流、疏浚等形式防止水体污染扩大；采取隔离、吸附、打捞、氧化还原、中和、去污洗消、临时收贮、转移异地处置、临时改造污染处置工艺或临时建设污染处置工程等方法处置污染物。必要时，要求其他排污单位停产、限产、限排，减轻环境污染负荷。水源地突发环境事故典型情景及应对处置措施如下。</w:t>
      </w:r>
    </w:p>
    <w:p w14:paraId="4604E35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（1）水华灾害突发事件。</w:t>
      </w:r>
    </w:p>
    <w:p w14:paraId="567CCFD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依据HJ1098水华程度分级标准及相关技术规范，对一级、二级水源保护区发生轻度水华的区域，定期、不定期组织重点水域岸线巡查及湖面观测；在重点水域组织增氧曝气作业，在满足防汛等安全的条件下，加大重点水域水体置换流量，改善水动力条件；加大重点水域藻类拦截、藻水打捞、藻水处理等作业量。对一级、二级水源保护区发生中度水华的区域，驻守重点水域，组织岸线巡查，直至水华消退；加大重点水域增氧曝气作业量；在满足防汛等安全的条件下，持续加大重点水域水体置换流量，改善水动力条件；在驻守处理的基础上，增配人员、物资、设施设备等机动力量，持续加大重点水域藻类拦截、藻水打捞、藻水处理等的作业量；加强湖面观测，及时组织藻类围捕作业。对一级、二级水源保护区的发生重度水华区域，驻守重点水域，加大组织岸线巡查力度，直至水华消退；集中调配人员、物资、设施设备等机动力量，依据水库水域功能分区及敏感程度，以防范藻类水华大面积、高密度堆积，发白发臭为目标，渐次保障重点水域；重点水域持续加大增氧曝气作业量；在满足防汛等安全的条件下，持续加大重点水域水体置换流量，改善水动力条件；藻水打捞、藻水处理等设施设备，保持满负荷运行，驻守湖面观测，持续组织藻类围捕作业。</w:t>
      </w:r>
    </w:p>
    <w:p w14:paraId="5C2F7F3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（2）油类污染事件</w:t>
      </w:r>
    </w:p>
    <w:p w14:paraId="02547A5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油污呈连续带状分布时，在取水口铺设拦油隔离设施，驱离油污，并实时观察反应池和沉淀池池面情况；当出现大量油污，整个水源地油污呈面状分布时，在取水口围油设施内铺设吸油毡，油污进入沉淀池时增加吸油毡铺设，以不进入集水槽为原则；若含油污水进入反应池后半部，一泵停止取水，在取水口水面铺设围油栏，水厂投加粉末活性炭，投率为15公斤/千吨</w:t>
      </w:r>
      <w:r>
        <w:rPr>
          <w:rFonts w:hint="eastAsia" w:cs="宋体"/>
          <w:color w:val="auto"/>
          <w:sz w:val="28"/>
          <w:szCs w:val="28"/>
          <w:lang w:val="en-US" w:eastAsia="zh-CN"/>
        </w:rPr>
        <w:t>～</w:t>
      </w:r>
      <w:r>
        <w:rPr>
          <w:rFonts w:hint="eastAsia" w:ascii="宋体" w:hAnsi="宋体" w:eastAsia="宋体" w:cs="宋体"/>
          <w:color w:val="auto"/>
          <w:sz w:val="28"/>
          <w:szCs w:val="28"/>
          <w:lang w:val="en-US" w:eastAsia="zh-CN"/>
        </w:rPr>
        <w:t>20公斤/千吨。</w:t>
      </w:r>
    </w:p>
    <w:p w14:paraId="3FC173E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（3）水体内污染物治理、总量或浓度削减</w:t>
      </w:r>
    </w:p>
    <w:p w14:paraId="6258CD0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应急专家组等意见，制定综合处置方案，经现场应急指挥部确认后实施。一般采取隔离、吸附、打捞、扰动等物理方法，氧化、沉淀等化学方法，利用湿地生物群消解等生物方法和上游调水等稀释方法，可以采取一种或多种方式，力争短时间内削减污染物浓度。</w:t>
      </w:r>
    </w:p>
    <w:p w14:paraId="58A5ABC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应急工程设施拦截污染水体。结合涉饮用水水源地河流的“一河一图一策”应急响应方案，充分利用流域环境应急设施和空间，在河道内启用或修建拦截坝、节制闸等工程设施拦截污染水体；通过导流渠将未受污染水体导流至污染水体下游，通过分流沟将污染水体分流至水源保护区外进行收集处置；利用前置库、缓冲池等工程设施，降低污染水体的污染物浓度，为应急处置争取时间。</w:t>
      </w:r>
    </w:p>
    <w:p w14:paraId="19BA286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（5）</w:t>
      </w:r>
      <w:r>
        <w:rPr>
          <w:rFonts w:hint="eastAsia" w:ascii="宋体" w:hAnsi="宋体" w:eastAsia="宋体" w:cs="宋体"/>
          <w:color w:val="auto"/>
          <w:sz w:val="28"/>
          <w:szCs w:val="28"/>
          <w:lang w:val="en-US" w:eastAsia="zh-CN"/>
        </w:rPr>
        <w:t>事故废水处置措施</w:t>
      </w:r>
    </w:p>
    <w:p w14:paraId="2CB7BB7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1）设置拦截措施，避免事故废水流入河流，如以下河，铺设围油栏等拦截物品在河流上，对泄漏物质进行拦截，并向上报告。</w:t>
      </w:r>
    </w:p>
    <w:p w14:paraId="2F22598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2）设置导流设施将事故废水引流，避免污染范围扩大。</w:t>
      </w:r>
    </w:p>
    <w:p w14:paraId="093ADB2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3）对拦截的事故废水，用潜油泵进行收集。</w:t>
      </w:r>
    </w:p>
    <w:p w14:paraId="6B6A082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4）对收集的废水进行处置，处置达标后排放。如不能处置应委托有资质的单位进行处置。</w:t>
      </w:r>
    </w:p>
    <w:p w14:paraId="0456DDA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cs="宋体"/>
          <w:color w:val="auto"/>
          <w:sz w:val="28"/>
          <w:szCs w:val="28"/>
          <w:lang w:val="en-US" w:eastAsia="zh-CN"/>
        </w:rPr>
        <w:t>6</w:t>
      </w:r>
      <w:r>
        <w:rPr>
          <w:rFonts w:hint="eastAsia" w:ascii="宋体" w:hAnsi="宋体" w:eastAsia="宋体" w:cs="宋体"/>
          <w:color w:val="auto"/>
          <w:sz w:val="28"/>
          <w:szCs w:val="28"/>
          <w:lang w:val="en-US" w:eastAsia="zh-CN"/>
        </w:rPr>
        <w:t>）饮用水水源深度处置。在水质受污染程度不严重的情</w:t>
      </w:r>
      <w:r>
        <w:rPr>
          <w:rFonts w:hint="eastAsia" w:cs="宋体"/>
          <w:color w:val="auto"/>
          <w:sz w:val="28"/>
          <w:szCs w:val="28"/>
          <w:lang w:val="en-US" w:eastAsia="zh-CN"/>
        </w:rPr>
        <w:t>况下</w:t>
      </w:r>
      <w:r>
        <w:rPr>
          <w:rFonts w:hint="eastAsia" w:ascii="宋体" w:hAnsi="宋体" w:eastAsia="宋体" w:cs="宋体"/>
          <w:color w:val="auto"/>
          <w:sz w:val="28"/>
          <w:szCs w:val="28"/>
          <w:lang w:val="en-US" w:eastAsia="zh-CN"/>
        </w:rPr>
        <w:t>，采用深度处理工艺（如臭氧-活性炭技术、生物活性炭技术、膜分离技术等）对来水进行处理，确保水厂出水水质达标。</w:t>
      </w:r>
    </w:p>
    <w:p w14:paraId="4BE9E76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针对污染物可采取的物理、化学、生物处理技术如表</w:t>
      </w:r>
      <w:r>
        <w:rPr>
          <w:rFonts w:hint="eastAsia" w:cs="宋体"/>
          <w:color w:val="auto"/>
          <w:sz w:val="28"/>
          <w:szCs w:val="28"/>
          <w:lang w:val="en-US" w:eastAsia="zh-CN"/>
        </w:rPr>
        <w:t>4.1</w:t>
      </w:r>
      <w:r>
        <w:rPr>
          <w:rFonts w:hint="eastAsia" w:ascii="宋体" w:hAnsi="宋体" w:eastAsia="宋体" w:cs="宋体"/>
          <w:color w:val="auto"/>
          <w:sz w:val="28"/>
          <w:szCs w:val="28"/>
          <w:lang w:val="en-US" w:eastAsia="zh-CN"/>
        </w:rPr>
        <w:t>-1所示。</w:t>
      </w:r>
    </w:p>
    <w:p w14:paraId="19A28811">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482"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表</w:t>
      </w:r>
      <w:r>
        <w:rPr>
          <w:rFonts w:hint="eastAsia" w:cs="宋体"/>
          <w:b/>
          <w:bCs/>
          <w:color w:val="auto"/>
          <w:sz w:val="24"/>
          <w:szCs w:val="24"/>
          <w:lang w:val="en-US" w:eastAsia="zh-CN"/>
        </w:rPr>
        <w:t xml:space="preserve"> </w:t>
      </w:r>
      <w:r>
        <w:rPr>
          <w:rFonts w:hint="eastAsia" w:ascii="宋体" w:hAnsi="宋体" w:eastAsia="宋体" w:cs="宋体"/>
          <w:b/>
          <w:bCs/>
          <w:color w:val="auto"/>
          <w:sz w:val="24"/>
          <w:szCs w:val="24"/>
          <w:lang w:val="en-US" w:eastAsia="zh-CN"/>
        </w:rPr>
        <w:t>4.1-1</w:t>
      </w:r>
      <w:r>
        <w:rPr>
          <w:rFonts w:hint="eastAsia" w:cs="宋体"/>
          <w:b/>
          <w:bCs/>
          <w:color w:val="auto"/>
          <w:sz w:val="24"/>
          <w:szCs w:val="24"/>
          <w:lang w:val="en-US" w:eastAsia="zh-CN"/>
        </w:rPr>
        <w:t xml:space="preserve"> </w:t>
      </w:r>
      <w:r>
        <w:rPr>
          <w:rFonts w:hint="eastAsia" w:ascii="宋体" w:hAnsi="宋体" w:eastAsia="宋体" w:cs="宋体"/>
          <w:b/>
          <w:bCs/>
          <w:color w:val="auto"/>
          <w:sz w:val="24"/>
          <w:szCs w:val="24"/>
          <w:lang w:val="en-US" w:eastAsia="zh-CN"/>
        </w:rPr>
        <w:t>适用于处理不同超标项目的推荐技术</w:t>
      </w:r>
    </w:p>
    <w:tbl>
      <w:tblPr>
        <w:tblStyle w:val="14"/>
        <w:tblW w:w="850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23"/>
        <w:gridCol w:w="6481"/>
      </w:tblGrid>
      <w:tr w14:paraId="7A37D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bottom w:val="single" w:color="000000" w:sz="4" w:space="0"/>
              <w:right w:val="single" w:color="000000" w:sz="4" w:space="0"/>
            </w:tcBorders>
            <w:noWrap w:val="0"/>
            <w:vAlign w:val="center"/>
          </w:tcPr>
          <w:p w14:paraId="54F1D472">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超标项目</w:t>
            </w:r>
          </w:p>
        </w:tc>
        <w:tc>
          <w:tcPr>
            <w:tcW w:w="6481" w:type="dxa"/>
            <w:tcBorders>
              <w:left w:val="single" w:color="000000" w:sz="4" w:space="0"/>
              <w:bottom w:val="single" w:color="000000" w:sz="4" w:space="0"/>
            </w:tcBorders>
            <w:noWrap w:val="0"/>
            <w:vAlign w:val="center"/>
          </w:tcPr>
          <w:p w14:paraId="41DC4289">
            <w:pPr>
              <w:pStyle w:val="27"/>
              <w:keepNext w:val="0"/>
              <w:keepLines w:val="0"/>
              <w:pageBreakBefore w:val="0"/>
              <w:widowControl w:val="0"/>
              <w:tabs>
                <w:tab w:val="left" w:pos="556"/>
                <w:tab w:val="left" w:pos="1108"/>
                <w:tab w:val="left" w:pos="1660"/>
              </w:tabs>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推</w:t>
            </w:r>
            <w:r>
              <w:rPr>
                <w:rFonts w:hint="eastAsia" w:ascii="宋体" w:hAnsi="宋体" w:eastAsia="宋体" w:cs="宋体"/>
                <w:sz w:val="21"/>
                <w:szCs w:val="21"/>
              </w:rPr>
              <w:tab/>
            </w:r>
            <w:r>
              <w:rPr>
                <w:rFonts w:hint="eastAsia" w:ascii="宋体" w:hAnsi="宋体" w:eastAsia="宋体" w:cs="宋体"/>
                <w:sz w:val="21"/>
                <w:szCs w:val="21"/>
              </w:rPr>
              <w:t>荐</w:t>
            </w:r>
            <w:r>
              <w:rPr>
                <w:rFonts w:hint="eastAsia" w:ascii="宋体" w:hAnsi="宋体" w:eastAsia="宋体" w:cs="宋体"/>
                <w:sz w:val="21"/>
                <w:szCs w:val="21"/>
              </w:rPr>
              <w:tab/>
            </w:r>
            <w:r>
              <w:rPr>
                <w:rFonts w:hint="eastAsia" w:ascii="宋体" w:hAnsi="宋体" w:eastAsia="宋体" w:cs="宋体"/>
                <w:sz w:val="21"/>
                <w:szCs w:val="21"/>
              </w:rPr>
              <w:t>技</w:t>
            </w:r>
            <w:r>
              <w:rPr>
                <w:rFonts w:hint="eastAsia" w:ascii="宋体" w:hAnsi="宋体" w:eastAsia="宋体" w:cs="宋体"/>
                <w:sz w:val="21"/>
                <w:szCs w:val="21"/>
              </w:rPr>
              <w:tab/>
            </w:r>
            <w:r>
              <w:rPr>
                <w:rFonts w:hint="eastAsia" w:ascii="宋体" w:hAnsi="宋体" w:eastAsia="宋体" w:cs="宋体"/>
                <w:sz w:val="21"/>
                <w:szCs w:val="21"/>
              </w:rPr>
              <w:t>术</w:t>
            </w:r>
          </w:p>
        </w:tc>
      </w:tr>
      <w:tr w14:paraId="701BA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1300F091">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浊度</w:t>
            </w:r>
          </w:p>
        </w:tc>
        <w:tc>
          <w:tcPr>
            <w:tcW w:w="6481" w:type="dxa"/>
            <w:tcBorders>
              <w:top w:val="single" w:color="000000" w:sz="4" w:space="0"/>
              <w:left w:val="single" w:color="000000" w:sz="4" w:space="0"/>
              <w:bottom w:val="single" w:color="000000" w:sz="4" w:space="0"/>
            </w:tcBorders>
            <w:noWrap w:val="0"/>
            <w:vAlign w:val="center"/>
          </w:tcPr>
          <w:p w14:paraId="2F7E111A">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快速砂滤池、絮凝、沉淀、过滤</w:t>
            </w:r>
          </w:p>
        </w:tc>
      </w:tr>
      <w:tr w14:paraId="6CD9E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trPr>
        <w:tc>
          <w:tcPr>
            <w:tcW w:w="2023" w:type="dxa"/>
            <w:tcBorders>
              <w:top w:val="single" w:color="000000" w:sz="4" w:space="0"/>
              <w:bottom w:val="single" w:color="000000" w:sz="4" w:space="0"/>
              <w:right w:val="single" w:color="000000" w:sz="4" w:space="0"/>
            </w:tcBorders>
            <w:noWrap w:val="0"/>
            <w:vAlign w:val="center"/>
          </w:tcPr>
          <w:p w14:paraId="490B1130">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色度</w:t>
            </w:r>
          </w:p>
        </w:tc>
        <w:tc>
          <w:tcPr>
            <w:tcW w:w="6481" w:type="dxa"/>
            <w:tcBorders>
              <w:top w:val="single" w:color="000000" w:sz="4" w:space="0"/>
              <w:left w:val="single" w:color="000000" w:sz="4" w:space="0"/>
              <w:bottom w:val="single" w:color="000000" w:sz="4" w:space="0"/>
            </w:tcBorders>
            <w:noWrap w:val="0"/>
            <w:vAlign w:val="center"/>
          </w:tcPr>
          <w:p w14:paraId="38DC9726">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9"/>
                <w:sz w:val="21"/>
                <w:szCs w:val="21"/>
                <w:lang w:eastAsia="zh-CN"/>
              </w:rPr>
              <w:t>快速砂滤池、絮凝；活性炭吸附；化学氧化预处理：臭氧、氯、高锰酸钾、</w:t>
            </w:r>
            <w:r>
              <w:rPr>
                <w:rFonts w:hint="eastAsia" w:ascii="宋体" w:hAnsi="宋体" w:eastAsia="宋体" w:cs="宋体"/>
                <w:spacing w:val="-5"/>
                <w:sz w:val="21"/>
                <w:szCs w:val="21"/>
                <w:lang w:eastAsia="zh-CN"/>
              </w:rPr>
              <w:t>二氧化氯</w:t>
            </w:r>
          </w:p>
        </w:tc>
      </w:tr>
      <w:tr w14:paraId="5867F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016DCF2D">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嗅味</w:t>
            </w:r>
          </w:p>
        </w:tc>
        <w:tc>
          <w:tcPr>
            <w:tcW w:w="6481" w:type="dxa"/>
            <w:tcBorders>
              <w:top w:val="single" w:color="000000" w:sz="4" w:space="0"/>
              <w:left w:val="single" w:color="000000" w:sz="4" w:space="0"/>
              <w:bottom w:val="single" w:color="000000" w:sz="4" w:space="0"/>
            </w:tcBorders>
            <w:noWrap w:val="0"/>
            <w:vAlign w:val="center"/>
          </w:tcPr>
          <w:p w14:paraId="1263DEA8">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化学氧化预处理：臭氧、氯、高锰酸钾、二氧化氯、活性炭</w:t>
            </w:r>
          </w:p>
        </w:tc>
      </w:tr>
      <w:tr w14:paraId="35D25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trPr>
        <w:tc>
          <w:tcPr>
            <w:tcW w:w="2023" w:type="dxa"/>
            <w:tcBorders>
              <w:top w:val="single" w:color="000000" w:sz="4" w:space="0"/>
              <w:bottom w:val="single" w:color="000000" w:sz="4" w:space="0"/>
              <w:right w:val="single" w:color="000000" w:sz="4" w:space="0"/>
            </w:tcBorders>
            <w:noWrap w:val="0"/>
            <w:vAlign w:val="center"/>
          </w:tcPr>
          <w:p w14:paraId="5C7E674B">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氟化物</w:t>
            </w:r>
          </w:p>
        </w:tc>
        <w:tc>
          <w:tcPr>
            <w:tcW w:w="6481" w:type="dxa"/>
            <w:tcBorders>
              <w:top w:val="single" w:color="000000" w:sz="4" w:space="0"/>
              <w:left w:val="single" w:color="000000" w:sz="4" w:space="0"/>
              <w:bottom w:val="single" w:color="000000" w:sz="4" w:space="0"/>
            </w:tcBorders>
            <w:noWrap w:val="0"/>
            <w:vAlign w:val="center"/>
          </w:tcPr>
          <w:p w14:paraId="4BED83C9">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5"/>
                <w:sz w:val="21"/>
                <w:szCs w:val="21"/>
                <w:lang w:eastAsia="zh-CN"/>
              </w:rPr>
              <w:t>吸附法：氧化铝、磷酸二钙；混凝沉淀法：硫酸铝、聚合氯化铝；离子交</w:t>
            </w:r>
            <w:r>
              <w:rPr>
                <w:rFonts w:hint="eastAsia" w:ascii="宋体" w:hAnsi="宋体" w:eastAsia="宋体" w:cs="宋体"/>
                <w:spacing w:val="-6"/>
                <w:sz w:val="21"/>
                <w:szCs w:val="21"/>
                <w:lang w:eastAsia="zh-CN"/>
              </w:rPr>
              <w:t>换法；电渗析法</w:t>
            </w:r>
          </w:p>
        </w:tc>
      </w:tr>
      <w:tr w14:paraId="4C1D0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395265D5">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氨氮</w:t>
            </w:r>
          </w:p>
        </w:tc>
        <w:tc>
          <w:tcPr>
            <w:tcW w:w="6481" w:type="dxa"/>
            <w:tcBorders>
              <w:top w:val="single" w:color="000000" w:sz="4" w:space="0"/>
              <w:left w:val="single" w:color="000000" w:sz="4" w:space="0"/>
              <w:bottom w:val="single" w:color="000000" w:sz="4" w:space="0"/>
            </w:tcBorders>
            <w:noWrap w:val="0"/>
            <w:vAlign w:val="center"/>
          </w:tcPr>
          <w:p w14:paraId="3B729F9A">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化学氧化预处理：氯、高锰酸钾；深度处理：臭氧-生物活性炭</w:t>
            </w:r>
          </w:p>
        </w:tc>
      </w:tr>
      <w:tr w14:paraId="5D395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369657E5">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铁、锰</w:t>
            </w:r>
          </w:p>
        </w:tc>
        <w:tc>
          <w:tcPr>
            <w:tcW w:w="6481" w:type="dxa"/>
            <w:tcBorders>
              <w:top w:val="single" w:color="000000" w:sz="4" w:space="0"/>
              <w:left w:val="single" w:color="000000" w:sz="4" w:space="0"/>
              <w:bottom w:val="single" w:color="000000" w:sz="4" w:space="0"/>
            </w:tcBorders>
            <w:noWrap w:val="0"/>
            <w:vAlign w:val="center"/>
          </w:tcPr>
          <w:p w14:paraId="0D44FD25">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锰砂；化学氧化预处理：氯、高锰酸钾；深度处理：臭氧-生物活性炭</w:t>
            </w:r>
          </w:p>
        </w:tc>
      </w:tr>
      <w:tr w14:paraId="71B55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1BFB9297">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挥发性有机物</w:t>
            </w:r>
          </w:p>
        </w:tc>
        <w:tc>
          <w:tcPr>
            <w:tcW w:w="6481" w:type="dxa"/>
            <w:tcBorders>
              <w:top w:val="single" w:color="000000" w:sz="4" w:space="0"/>
              <w:left w:val="single" w:color="000000" w:sz="4" w:space="0"/>
              <w:bottom w:val="single" w:color="000000" w:sz="4" w:space="0"/>
            </w:tcBorders>
            <w:noWrap w:val="0"/>
            <w:vAlign w:val="center"/>
          </w:tcPr>
          <w:p w14:paraId="1D2DAFF8">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生物活性炭吸附</w:t>
            </w:r>
          </w:p>
        </w:tc>
      </w:tr>
      <w:tr w14:paraId="3E1E5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jc w:val="center"/>
        </w:trPr>
        <w:tc>
          <w:tcPr>
            <w:tcW w:w="2023" w:type="dxa"/>
            <w:tcBorders>
              <w:top w:val="single" w:color="000000" w:sz="4" w:space="0"/>
              <w:bottom w:val="single" w:color="000000" w:sz="4" w:space="0"/>
              <w:right w:val="single" w:color="000000" w:sz="4" w:space="0"/>
            </w:tcBorders>
            <w:noWrap w:val="0"/>
            <w:vAlign w:val="center"/>
          </w:tcPr>
          <w:p w14:paraId="335EA702">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三氯甲烷和腐殖酸</w:t>
            </w:r>
          </w:p>
        </w:tc>
        <w:tc>
          <w:tcPr>
            <w:tcW w:w="6481" w:type="dxa"/>
            <w:tcBorders>
              <w:top w:val="single" w:color="000000" w:sz="4" w:space="0"/>
              <w:left w:val="single" w:color="000000" w:sz="4" w:space="0"/>
              <w:bottom w:val="single" w:color="000000" w:sz="4" w:space="0"/>
            </w:tcBorders>
            <w:noWrap w:val="0"/>
            <w:vAlign w:val="center"/>
          </w:tcPr>
          <w:p w14:paraId="1A68689E">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22"/>
                <w:sz w:val="21"/>
                <w:szCs w:val="21"/>
                <w:lang w:eastAsia="zh-CN"/>
              </w:rPr>
              <w:t>前驱物的去除：强化混凝、粒状活性炭、生物活性炭；氯化副产物的去除：</w:t>
            </w:r>
            <w:r>
              <w:rPr>
                <w:rFonts w:hint="eastAsia" w:ascii="宋体" w:hAnsi="宋体" w:eastAsia="宋体" w:cs="宋体"/>
                <w:spacing w:val="-5"/>
                <w:sz w:val="21"/>
                <w:szCs w:val="21"/>
                <w:lang w:eastAsia="zh-CN"/>
              </w:rPr>
              <w:t>粒状活性炭</w:t>
            </w:r>
          </w:p>
        </w:tc>
      </w:tr>
      <w:tr w14:paraId="79BE7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75B69E4C">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有机化合物</w:t>
            </w:r>
          </w:p>
        </w:tc>
        <w:tc>
          <w:tcPr>
            <w:tcW w:w="6481" w:type="dxa"/>
            <w:tcBorders>
              <w:top w:val="single" w:color="000000" w:sz="4" w:space="0"/>
              <w:left w:val="single" w:color="000000" w:sz="4" w:space="0"/>
              <w:bottom w:val="single" w:color="000000" w:sz="4" w:space="0"/>
            </w:tcBorders>
            <w:noWrap w:val="0"/>
            <w:vAlign w:val="center"/>
          </w:tcPr>
          <w:p w14:paraId="75D7C13A">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rPr>
            </w:pPr>
            <w:r>
              <w:rPr>
                <w:rFonts w:hint="eastAsia" w:ascii="宋体" w:hAnsi="宋体" w:eastAsia="宋体" w:cs="宋体"/>
                <w:sz w:val="21"/>
                <w:szCs w:val="21"/>
              </w:rPr>
              <w:t>生物活性炭、膜处理</w:t>
            </w:r>
          </w:p>
        </w:tc>
      </w:tr>
      <w:tr w14:paraId="6545C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jc w:val="center"/>
        </w:trPr>
        <w:tc>
          <w:tcPr>
            <w:tcW w:w="2023" w:type="dxa"/>
            <w:tcBorders>
              <w:top w:val="single" w:color="000000" w:sz="4" w:space="0"/>
              <w:bottom w:val="single" w:color="000000" w:sz="4" w:space="0"/>
              <w:right w:val="single" w:color="000000" w:sz="4" w:space="0"/>
            </w:tcBorders>
            <w:noWrap w:val="0"/>
            <w:vAlign w:val="center"/>
          </w:tcPr>
          <w:p w14:paraId="4329AD27">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细菌和病毒</w:t>
            </w:r>
          </w:p>
        </w:tc>
        <w:tc>
          <w:tcPr>
            <w:tcW w:w="6481" w:type="dxa"/>
            <w:tcBorders>
              <w:top w:val="single" w:color="000000" w:sz="4" w:space="0"/>
              <w:left w:val="single" w:color="000000" w:sz="4" w:space="0"/>
              <w:bottom w:val="single" w:color="000000" w:sz="4" w:space="0"/>
            </w:tcBorders>
            <w:noWrap w:val="0"/>
            <w:vAlign w:val="center"/>
          </w:tcPr>
          <w:p w14:paraId="31E373FD">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26"/>
                <w:sz w:val="21"/>
                <w:szCs w:val="21"/>
                <w:lang w:eastAsia="zh-CN"/>
              </w:rPr>
              <w:t>过滤</w:t>
            </w:r>
            <w:r>
              <w:rPr>
                <w:rFonts w:hint="eastAsia" w:ascii="宋体" w:hAnsi="宋体" w:eastAsia="宋体" w:cs="宋体"/>
                <w:spacing w:val="-25"/>
                <w:sz w:val="21"/>
                <w:szCs w:val="21"/>
                <w:lang w:eastAsia="zh-CN"/>
              </w:rPr>
              <w:t>（</w:t>
            </w:r>
            <w:r>
              <w:rPr>
                <w:rFonts w:hint="eastAsia" w:ascii="宋体" w:hAnsi="宋体" w:eastAsia="宋体" w:cs="宋体"/>
                <w:spacing w:val="-27"/>
                <w:sz w:val="21"/>
                <w:szCs w:val="21"/>
                <w:lang w:eastAsia="zh-CN"/>
              </w:rPr>
              <w:t>部分去除）；</w:t>
            </w:r>
            <w:r>
              <w:rPr>
                <w:rFonts w:hint="eastAsia" w:ascii="宋体" w:hAnsi="宋体" w:eastAsia="宋体" w:cs="宋体"/>
                <w:spacing w:val="-26"/>
                <w:sz w:val="21"/>
                <w:szCs w:val="21"/>
                <w:lang w:eastAsia="zh-CN"/>
              </w:rPr>
              <w:t>消毒处理：氯、二氧化氯、臭氧、膜处理、紫外消毒</w:t>
            </w:r>
          </w:p>
        </w:tc>
      </w:tr>
      <w:tr w14:paraId="6055C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jc w:val="center"/>
        </w:trPr>
        <w:tc>
          <w:tcPr>
            <w:tcW w:w="2023" w:type="dxa"/>
            <w:tcBorders>
              <w:top w:val="single" w:color="000000" w:sz="4" w:space="0"/>
              <w:bottom w:val="single" w:color="000000" w:sz="4" w:space="0"/>
              <w:right w:val="single" w:color="000000" w:sz="4" w:space="0"/>
            </w:tcBorders>
            <w:noWrap w:val="0"/>
            <w:vAlign w:val="center"/>
          </w:tcPr>
          <w:p w14:paraId="37E064A6">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汞、铬等部分重金属</w:t>
            </w:r>
          </w:p>
          <w:p w14:paraId="7BEA8D36">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（应急状态）</w:t>
            </w:r>
          </w:p>
        </w:tc>
        <w:tc>
          <w:tcPr>
            <w:tcW w:w="6481" w:type="dxa"/>
            <w:tcBorders>
              <w:top w:val="single" w:color="000000" w:sz="4" w:space="0"/>
              <w:left w:val="single" w:color="000000" w:sz="4" w:space="0"/>
              <w:bottom w:val="single" w:color="000000" w:sz="4" w:space="0"/>
            </w:tcBorders>
            <w:noWrap w:val="0"/>
            <w:vAlign w:val="center"/>
          </w:tcPr>
          <w:p w14:paraId="7296D43B">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氧化法：高锰酸钾；生物活性炭吸附（部分去除）</w:t>
            </w:r>
          </w:p>
        </w:tc>
      </w:tr>
      <w:tr w14:paraId="0C2EE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0" w:hRule="atLeast"/>
          <w:jc w:val="center"/>
        </w:trPr>
        <w:tc>
          <w:tcPr>
            <w:tcW w:w="2023" w:type="dxa"/>
            <w:tcBorders>
              <w:top w:val="single" w:color="000000" w:sz="4" w:space="0"/>
              <w:right w:val="single" w:color="000000" w:sz="4" w:space="0"/>
            </w:tcBorders>
            <w:noWrap w:val="0"/>
            <w:vAlign w:val="center"/>
          </w:tcPr>
          <w:p w14:paraId="292E7AD7">
            <w:pPr>
              <w:pStyle w:val="27"/>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藻类及藻毒素</w:t>
            </w:r>
          </w:p>
        </w:tc>
        <w:tc>
          <w:tcPr>
            <w:tcW w:w="6481" w:type="dxa"/>
            <w:tcBorders>
              <w:top w:val="single" w:color="000000" w:sz="4" w:space="0"/>
              <w:left w:val="single" w:color="000000" w:sz="4" w:space="0"/>
            </w:tcBorders>
            <w:noWrap w:val="0"/>
            <w:vAlign w:val="center"/>
          </w:tcPr>
          <w:p w14:paraId="28F1B5FE">
            <w:pPr>
              <w:pStyle w:val="27"/>
              <w:keepNext w:val="0"/>
              <w:keepLines w:val="0"/>
              <w:pageBreakBefore w:val="0"/>
              <w:widowControl w:val="0"/>
              <w:kinsoku/>
              <w:wordWrap/>
              <w:overflowPunct/>
              <w:topLinePunct w:val="0"/>
              <w:autoSpaceDE w:val="0"/>
              <w:autoSpaceDN w:val="0"/>
              <w:bidi w:val="0"/>
              <w:adjustRightInd/>
              <w:snapToGrid/>
              <w:spacing w:line="240" w:lineRule="atLeast"/>
              <w:textAlignment w:val="auto"/>
              <w:rPr>
                <w:rFonts w:hint="eastAsia" w:ascii="宋体" w:hAnsi="宋体" w:eastAsia="宋体" w:cs="宋体"/>
                <w:sz w:val="21"/>
                <w:szCs w:val="21"/>
                <w:lang w:eastAsia="zh-CN"/>
              </w:rPr>
            </w:pPr>
            <w:r>
              <w:rPr>
                <w:rFonts w:hint="eastAsia" w:ascii="宋体" w:hAnsi="宋体" w:eastAsia="宋体" w:cs="宋体"/>
                <w:spacing w:val="-14"/>
                <w:sz w:val="21"/>
                <w:szCs w:val="21"/>
                <w:lang w:eastAsia="zh-CN"/>
              </w:rPr>
              <w:t>化学氧化预处理：除藻剂法、高锰酸钾、氯；微滤法；气浮法；臭氧氧化法</w:t>
            </w:r>
          </w:p>
        </w:tc>
      </w:tr>
    </w:tbl>
    <w:p w14:paraId="03413014">
      <w:pPr>
        <w:pStyle w:val="5"/>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4.7.2 供水安全保障</w:t>
      </w:r>
      <w:bookmarkStart w:id="86" w:name="_Toc4905"/>
    </w:p>
    <w:p w14:paraId="72515D7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当出现水源地突发环境事件，应急供水保障组应根据污染物的种类、浓度、可能影响取水口的时间等，及时采取深度处理、低压供水或启动备用水源等应急措施，并加强污染物监测，待水质满足取水要求时恢复取水和供水。无备用水源的，应使用应急供水车等设施保障居民用水。</w:t>
      </w:r>
    </w:p>
    <w:p w14:paraId="2E65E354">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87" w:name="_Toc186124198"/>
      <w:bookmarkStart w:id="88" w:name="_Toc186125033"/>
      <w:bookmarkStart w:id="89" w:name="_Toc186122740"/>
      <w:bookmarkStart w:id="90" w:name="_Toc186123045"/>
      <w:bookmarkStart w:id="91" w:name="_Toc16092"/>
      <w:r>
        <w:rPr>
          <w:rFonts w:hint="eastAsia" w:ascii="宋体" w:hAnsi="宋体" w:eastAsia="宋体" w:cs="宋体"/>
          <w:b/>
          <w:bCs/>
          <w:color w:val="000000"/>
          <w:sz w:val="28"/>
          <w:szCs w:val="28"/>
          <w:lang w:val="en-US" w:eastAsia="zh-CN"/>
        </w:rPr>
        <w:t>4.8 物资调集及应急设施启用</w:t>
      </w:r>
      <w:bookmarkEnd w:id="86"/>
      <w:bookmarkEnd w:id="87"/>
      <w:bookmarkEnd w:id="88"/>
      <w:bookmarkEnd w:id="89"/>
      <w:bookmarkEnd w:id="90"/>
      <w:bookmarkEnd w:id="91"/>
    </w:p>
    <w:p w14:paraId="5D1F576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bookmarkStart w:id="92" w:name="_Toc25284"/>
      <w:bookmarkStart w:id="93" w:name="_Toc186125034"/>
      <w:bookmarkStart w:id="94" w:name="_Toc186123046"/>
      <w:bookmarkStart w:id="95" w:name="_Toc31212"/>
      <w:bookmarkStart w:id="96" w:name="_Toc186124199"/>
      <w:bookmarkStart w:id="97" w:name="_Toc186122741"/>
      <w:r>
        <w:rPr>
          <w:rFonts w:hint="eastAsia" w:ascii="宋体" w:hAnsi="宋体" w:eastAsia="宋体" w:cs="宋体"/>
          <w:color w:val="auto"/>
          <w:sz w:val="28"/>
          <w:szCs w:val="28"/>
          <w:lang w:val="en-US" w:eastAsia="zh-CN"/>
        </w:rPr>
        <w:t>应急物资、装备</w:t>
      </w:r>
      <w:r>
        <w:rPr>
          <w:rFonts w:hint="eastAsia" w:cs="宋体"/>
          <w:color w:val="auto"/>
          <w:sz w:val="28"/>
          <w:szCs w:val="28"/>
          <w:lang w:val="en-US" w:eastAsia="zh-CN"/>
        </w:rPr>
        <w:t>在突发环境事件发生时</w:t>
      </w:r>
      <w:r>
        <w:rPr>
          <w:rFonts w:hint="eastAsia" w:ascii="宋体" w:hAnsi="宋体" w:eastAsia="宋体" w:cs="宋体"/>
          <w:color w:val="auto"/>
          <w:sz w:val="28"/>
          <w:szCs w:val="28"/>
          <w:lang w:val="en-US" w:eastAsia="zh-CN"/>
        </w:rPr>
        <w:t>由综合协调组进行统一协调调配。</w:t>
      </w:r>
    </w:p>
    <w:p w14:paraId="2D42DE75">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4.9 舆情监测与信息发布</w:t>
      </w:r>
      <w:bookmarkEnd w:id="92"/>
      <w:bookmarkEnd w:id="93"/>
      <w:bookmarkEnd w:id="94"/>
      <w:bookmarkEnd w:id="95"/>
      <w:bookmarkEnd w:id="96"/>
      <w:bookmarkEnd w:id="97"/>
    </w:p>
    <w:p w14:paraId="2F6B5EC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综合协调组负责及时按规定通过新闻媒体发布饮用水水源地突发污染事件处置的相关信息，监控、引导社会</w:t>
      </w:r>
      <w:bookmarkStart w:id="180" w:name="_GoBack"/>
      <w:bookmarkEnd w:id="180"/>
      <w:r>
        <w:rPr>
          <w:rFonts w:hint="eastAsia" w:ascii="宋体" w:hAnsi="宋体" w:eastAsia="宋体" w:cs="宋体"/>
          <w:color w:val="auto"/>
          <w:sz w:val="28"/>
          <w:szCs w:val="28"/>
          <w:lang w:val="en-US" w:eastAsia="zh-CN"/>
        </w:rPr>
        <w:t>舆情。现场应急指挥部在突发环境事件发生后，应第一时间通过政府发布新闻通稿、举行新闻发布会等多种形式，借助电视、广播、报纸、网络等多种途径，运用微博、微信、移动客户端等新媒体平台，主动、及时、准确、客观地向社会发布突发环境事件有关信息，回应社会关切，澄清不实信息，正确引导社会舆论。发布内容包括事件原因、影响区域、已采取的措施及成效、公众应注意的防范措施、热线电话等。</w:t>
      </w:r>
    </w:p>
    <w:p w14:paraId="24DA5B98">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98" w:name="_Toc1903"/>
      <w:bookmarkStart w:id="99" w:name="_Toc186125035"/>
      <w:bookmarkStart w:id="100" w:name="_Toc186124200"/>
      <w:bookmarkStart w:id="101" w:name="_Toc19502"/>
      <w:bookmarkStart w:id="102" w:name="_Toc186123047"/>
      <w:bookmarkStart w:id="103" w:name="_Toc186122742"/>
      <w:r>
        <w:rPr>
          <w:rFonts w:hint="eastAsia" w:ascii="宋体" w:hAnsi="宋体" w:eastAsia="宋体" w:cs="宋体"/>
          <w:b/>
          <w:bCs/>
          <w:color w:val="000000"/>
          <w:sz w:val="28"/>
          <w:szCs w:val="28"/>
          <w:lang w:val="en-US" w:eastAsia="zh-CN"/>
        </w:rPr>
        <w:t>4.10 响应终止</w:t>
      </w:r>
      <w:bookmarkEnd w:id="98"/>
      <w:bookmarkEnd w:id="99"/>
      <w:bookmarkEnd w:id="100"/>
      <w:bookmarkEnd w:id="101"/>
      <w:bookmarkEnd w:id="102"/>
      <w:bookmarkEnd w:id="103"/>
    </w:p>
    <w:p w14:paraId="390385E8">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符合下列情形之一的，可终止应急响应。</w:t>
      </w:r>
    </w:p>
    <w:p w14:paraId="76DCDB4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（1）进入水源保护区陆域范围的污染物已成功围堵，且清运至水源保护区外，未向水域扩散时；</w:t>
      </w:r>
    </w:p>
    <w:p w14:paraId="2A5F503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（2）进入水源保护区水域范围的</w:t>
      </w:r>
      <w:r>
        <w:rPr>
          <w:rFonts w:hint="eastAsia" w:cs="宋体"/>
          <w:color w:val="auto"/>
          <w:sz w:val="28"/>
          <w:szCs w:val="28"/>
          <w:lang w:val="en-US" w:eastAsia="zh-CN"/>
        </w:rPr>
        <w:t>污染源</w:t>
      </w:r>
      <w:r>
        <w:rPr>
          <w:rFonts w:hint="eastAsia" w:ascii="宋体" w:hAnsi="宋体" w:eastAsia="宋体" w:cs="宋体"/>
          <w:color w:val="auto"/>
          <w:sz w:val="28"/>
          <w:szCs w:val="28"/>
          <w:lang w:val="en-US" w:eastAsia="zh-CN"/>
        </w:rPr>
        <w:t>已成功拦截或导流至水源保护区外，没有向取水口扩散的风险，且水质监测结果稳定达标；</w:t>
      </w:r>
    </w:p>
    <w:p w14:paraId="0F32D40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（3）水质监测结果尚未稳定达标，但根据应急专家组建议可以恢复正常</w:t>
      </w:r>
      <w:r>
        <w:rPr>
          <w:rFonts w:hint="eastAsia" w:cs="宋体"/>
          <w:color w:val="auto"/>
          <w:sz w:val="28"/>
          <w:szCs w:val="28"/>
          <w:lang w:val="en-US" w:eastAsia="zh-CN"/>
        </w:rPr>
        <w:t>取水</w:t>
      </w:r>
      <w:r>
        <w:rPr>
          <w:rFonts w:hint="eastAsia" w:ascii="宋体" w:hAnsi="宋体" w:eastAsia="宋体" w:cs="宋体"/>
          <w:color w:val="auto"/>
          <w:sz w:val="28"/>
          <w:szCs w:val="28"/>
          <w:lang w:val="en-US" w:eastAsia="zh-CN"/>
        </w:rPr>
        <w:t>。</w:t>
      </w:r>
    </w:p>
    <w:p w14:paraId="0BA3B44C">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由专家组进行综合评估，在符合解除应急响应的条件后，提出响应终止的建议，由区指挥部批准同意响应终止。</w:t>
      </w:r>
    </w:p>
    <w:p w14:paraId="41FE0654">
      <w:pPr>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br w:type="page"/>
      </w:r>
    </w:p>
    <w:p w14:paraId="0D50696E">
      <w:pPr>
        <w:pStyle w:val="13"/>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7"/>
          <w:rFonts w:hint="default" w:ascii="宋体" w:hAnsi="宋体" w:eastAsia="宋体" w:cs="宋体"/>
          <w:b/>
          <w:bCs/>
          <w:color w:val="000000"/>
          <w:sz w:val="32"/>
          <w:szCs w:val="32"/>
          <w:lang w:val="en-US" w:eastAsia="zh-CN"/>
        </w:rPr>
      </w:pPr>
      <w:bookmarkStart w:id="104" w:name="_Toc186124159"/>
      <w:bookmarkStart w:id="105" w:name="_Toc186124984"/>
      <w:bookmarkStart w:id="106" w:name="_Toc31622"/>
      <w:r>
        <w:rPr>
          <w:rStyle w:val="17"/>
          <w:rFonts w:hint="eastAsia" w:cs="宋体"/>
          <w:b/>
          <w:bCs/>
          <w:color w:val="000000"/>
          <w:sz w:val="32"/>
          <w:szCs w:val="32"/>
          <w:lang w:val="en-US" w:eastAsia="zh-CN"/>
        </w:rPr>
        <w:t>5</w:t>
      </w:r>
      <w:r>
        <w:rPr>
          <w:rStyle w:val="17"/>
          <w:rFonts w:hint="eastAsia" w:ascii="宋体" w:hAnsi="宋体" w:eastAsia="宋体" w:cs="宋体"/>
          <w:b/>
          <w:bCs/>
          <w:color w:val="000000"/>
          <w:sz w:val="32"/>
          <w:szCs w:val="32"/>
          <w:lang w:val="en-US" w:eastAsia="zh-CN"/>
        </w:rPr>
        <w:t xml:space="preserve"> </w:t>
      </w:r>
      <w:bookmarkEnd w:id="104"/>
      <w:bookmarkEnd w:id="105"/>
      <w:r>
        <w:rPr>
          <w:rStyle w:val="17"/>
          <w:rFonts w:hint="eastAsia" w:cs="宋体"/>
          <w:b/>
          <w:bCs/>
          <w:color w:val="000000"/>
          <w:sz w:val="32"/>
          <w:szCs w:val="32"/>
          <w:lang w:val="en-US" w:eastAsia="zh-CN"/>
        </w:rPr>
        <w:t>后期工作</w:t>
      </w:r>
      <w:bookmarkEnd w:id="106"/>
    </w:p>
    <w:p w14:paraId="5D44D45A">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07" w:name="_Toc10713"/>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.1 后期防控</w:t>
      </w:r>
      <w:bookmarkEnd w:id="107"/>
      <w:bookmarkStart w:id="108" w:name="_Toc27647"/>
    </w:p>
    <w:p w14:paraId="067C7A6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后期防控主要包括：</w:t>
      </w:r>
    </w:p>
    <w:p w14:paraId="013EA244">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（1）油品、化学品污染环境净化和消洗</w:t>
      </w:r>
    </w:p>
    <w:p w14:paraId="722EFF1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油品、化学品能重新利用的则应回收再利用；不能重新利用的，可交有资质的单位处置；农药等毒性物质尽可能交与有资质的危险废物处理的单位净化处置。把消防毒剂水溶液装于消防车水罐，经消防泵加压后，通过水带、水枪以开花或喷雾水流喷洒。用吸附垫、活性炭等具有吸附能力的物质，吸附回收后转移委托有资质的单位处置，也可用喷射雾状水进行稀释降毒。受污染水体抽吸进入活性炭设施，净化处理达标后排入污水处理站，废弃活性炭委托有资质的单位处置。</w:t>
      </w:r>
    </w:p>
    <w:p w14:paraId="11B28705">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（2）被油品、化学品污染的河道或水库岸线</w:t>
      </w:r>
    </w:p>
    <w:p w14:paraId="52E8A98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对污染产生的死鱼、动物等进行打捞收集，并依法依规消毒填埋处理；</w:t>
      </w:r>
      <w:r>
        <w:rPr>
          <w:rFonts w:hint="eastAsia" w:cs="宋体"/>
          <w:color w:val="auto"/>
          <w:sz w:val="28"/>
          <w:szCs w:val="28"/>
          <w:lang w:val="en-US" w:eastAsia="zh-CN"/>
        </w:rPr>
        <w:t>使用</w:t>
      </w:r>
      <w:r>
        <w:rPr>
          <w:rFonts w:hint="eastAsia" w:ascii="宋体" w:hAnsi="宋体" w:eastAsia="宋体" w:cs="宋体"/>
          <w:color w:val="auto"/>
          <w:sz w:val="28"/>
          <w:szCs w:val="28"/>
          <w:lang w:val="en-US" w:eastAsia="zh-CN"/>
        </w:rPr>
        <w:t>消油剂或吸附剂进行消除；使用刷子或吸尘器除去颗粒性污染物，或使用简单工具收集被污染沙石至容器内，按危险固废处置。</w:t>
      </w:r>
    </w:p>
    <w:p w14:paraId="0ED746FB">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（3）被污染的土壤</w:t>
      </w:r>
    </w:p>
    <w:p w14:paraId="2B518283">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使用简单工具将表层剥离装入容器，并委托具备处理资质的单位净化处置；若环境不允许挖掘或清除大量土壤时，可使用物理、化学或生物方法消除。</w:t>
      </w:r>
    </w:p>
    <w:p w14:paraId="4784C2C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（4）清理的藻类</w:t>
      </w:r>
    </w:p>
    <w:p w14:paraId="50F63AA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藻类捕捞后运送到保护区外指定场所堆放，并采用沼气发生池、搅拌发酵、除臭分解等无害化处理手段，使之成为可利用的能源或有机肥料。</w:t>
      </w:r>
    </w:p>
    <w:p w14:paraId="0D56C8F3">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09" w:name="_Toc7612"/>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.2 事件调查</w:t>
      </w:r>
      <w:bookmarkEnd w:id="108"/>
      <w:bookmarkEnd w:id="109"/>
      <w:bookmarkStart w:id="110" w:name="_Toc7881"/>
    </w:p>
    <w:p w14:paraId="2E72AB0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根据事件调查的有关规定</w:t>
      </w:r>
      <w:r>
        <w:rPr>
          <w:rFonts w:hint="eastAsia" w:cs="宋体"/>
          <w:color w:val="auto"/>
          <w:sz w:val="28"/>
          <w:szCs w:val="28"/>
          <w:lang w:val="en-US" w:eastAsia="zh-CN"/>
        </w:rPr>
        <w:t>温泉镇应协助开展事件调查</w:t>
      </w:r>
      <w:r>
        <w:rPr>
          <w:rFonts w:hint="eastAsia" w:ascii="宋体" w:hAnsi="宋体" w:eastAsia="宋体" w:cs="宋体"/>
          <w:color w:val="auto"/>
          <w:sz w:val="28"/>
          <w:szCs w:val="28"/>
          <w:lang w:val="en-US" w:eastAsia="zh-CN"/>
        </w:rPr>
        <w:t>，一般或较大环境事件应由区生态环境局牵头，有关部门配合，组织开展事件调查，查明事件原因和性质，提出整改防范措施和处理建议。相关单位或企业应积极整改，并形成整改反馈报告。重大或特别重大事件由市政府或市政府指定部门组织调查。</w:t>
      </w:r>
    </w:p>
    <w:p w14:paraId="3A866242">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11" w:name="_Toc27055"/>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.3 损害评估</w:t>
      </w:r>
      <w:bookmarkEnd w:id="110"/>
      <w:bookmarkEnd w:id="111"/>
      <w:bookmarkStart w:id="112" w:name="_Toc24184"/>
    </w:p>
    <w:p w14:paraId="65979E50">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根据有关规定，</w:t>
      </w:r>
      <w:r>
        <w:rPr>
          <w:rFonts w:hint="eastAsia" w:cs="宋体"/>
          <w:color w:val="auto"/>
          <w:sz w:val="28"/>
          <w:szCs w:val="28"/>
          <w:lang w:val="en-US" w:eastAsia="zh-CN"/>
        </w:rPr>
        <w:t>温泉镇</w:t>
      </w:r>
      <w:r>
        <w:rPr>
          <w:rFonts w:hint="eastAsia" w:ascii="宋体" w:hAnsi="宋体" w:eastAsia="宋体" w:cs="宋体"/>
          <w:color w:val="auto"/>
          <w:sz w:val="28"/>
          <w:szCs w:val="28"/>
          <w:lang w:val="en-US" w:eastAsia="zh-CN"/>
        </w:rPr>
        <w:t>督促造成水源地突发环境事件及污染的个人或单位及时组织开展污染损害评估，并将经评审后的评估结果向社会公布。若造成水源地突发环境事件及污染的个人或单位不明确，应由</w:t>
      </w:r>
      <w:r>
        <w:rPr>
          <w:rFonts w:hint="eastAsia" w:cs="宋体"/>
          <w:color w:val="auto"/>
          <w:sz w:val="28"/>
          <w:szCs w:val="28"/>
          <w:lang w:val="en-US" w:eastAsia="zh-CN"/>
        </w:rPr>
        <w:t>温泉镇</w:t>
      </w:r>
      <w:r>
        <w:rPr>
          <w:rFonts w:hint="eastAsia" w:ascii="宋体" w:hAnsi="宋体" w:eastAsia="宋体" w:cs="宋体"/>
          <w:color w:val="auto"/>
          <w:sz w:val="28"/>
          <w:szCs w:val="28"/>
          <w:lang w:val="en-US" w:eastAsia="zh-CN"/>
        </w:rPr>
        <w:t>组织开展污染损害评估，并将经评审后的评估结果向社会公布。</w:t>
      </w:r>
    </w:p>
    <w:p w14:paraId="5F202DD6">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13" w:name="_Toc25196"/>
      <w:r>
        <w:rPr>
          <w:rFonts w:hint="eastAsia" w:ascii="宋体" w:hAnsi="宋体" w:cs="宋体"/>
          <w:b/>
          <w:bCs/>
          <w:color w:val="000000"/>
          <w:sz w:val="28"/>
          <w:szCs w:val="28"/>
          <w:lang w:val="en-US" w:eastAsia="zh-CN"/>
        </w:rPr>
        <w:t>5</w:t>
      </w:r>
      <w:r>
        <w:rPr>
          <w:rFonts w:hint="eastAsia" w:ascii="宋体" w:hAnsi="宋体" w:eastAsia="宋体" w:cs="宋体"/>
          <w:b/>
          <w:bCs/>
          <w:color w:val="000000"/>
          <w:sz w:val="28"/>
          <w:szCs w:val="28"/>
          <w:lang w:val="en-US" w:eastAsia="zh-CN"/>
        </w:rPr>
        <w:t>.4 善后处置</w:t>
      </w:r>
      <w:bookmarkEnd w:id="112"/>
      <w:bookmarkEnd w:id="113"/>
    </w:p>
    <w:p w14:paraId="693908A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由温泉镇督促肇事单位按照政策规定，对事故伤亡人员给予赔付救治，对伤者及伤亡人员家属进行精神安抚；相关部门按照各自职责进行指导。按照国家规定组织制定补助、补偿、抚慰、抚恤、安置和环境恢复等善后工作方案，并按照法定程序实施。对紧急征用的物资和调集的社会力量按照有关规定予以结算和补偿。保险机构及时开展相关理赔工作。肇事单位必须对风险隐患进行整改，防止风险源再次引发水污染事件，对涉及的污染场地进行修复，满足相关要求，并对造成社会损害的进行依法赔偿。</w:t>
      </w:r>
      <w:r>
        <w:rPr>
          <w:rFonts w:hint="eastAsia" w:ascii="宋体" w:hAnsi="宋体" w:eastAsia="宋体" w:cs="宋体"/>
          <w:color w:val="auto"/>
          <w:sz w:val="28"/>
          <w:szCs w:val="28"/>
          <w:lang w:val="en-US" w:eastAsia="zh-CN"/>
        </w:rPr>
        <w:br w:type="page"/>
      </w:r>
    </w:p>
    <w:p w14:paraId="52B46A7B">
      <w:pPr>
        <w:pStyle w:val="13"/>
        <w:keepNext w:val="0"/>
        <w:keepLines w:val="0"/>
        <w:pageBreakBefore w:val="0"/>
        <w:widowControl/>
        <w:kinsoku/>
        <w:wordWrap/>
        <w:overflowPunct/>
        <w:topLinePunct w:val="0"/>
        <w:autoSpaceDE/>
        <w:autoSpaceDN/>
        <w:bidi w:val="0"/>
        <w:adjustRightInd w:val="0"/>
        <w:snapToGrid/>
        <w:spacing w:beforeAutospacing="0" w:line="360" w:lineRule="auto"/>
        <w:ind w:firstLine="0" w:firstLineChars="0"/>
        <w:jc w:val="center"/>
        <w:textAlignment w:val="auto"/>
        <w:outlineLvl w:val="0"/>
        <w:rPr>
          <w:rStyle w:val="17"/>
          <w:rFonts w:hint="eastAsia" w:ascii="宋体" w:hAnsi="宋体" w:eastAsia="宋体" w:cs="宋体"/>
          <w:b/>
          <w:bCs/>
          <w:color w:val="000000"/>
          <w:sz w:val="32"/>
          <w:szCs w:val="32"/>
          <w:lang w:val="en-US" w:eastAsia="zh-CN"/>
        </w:rPr>
      </w:pPr>
      <w:bookmarkStart w:id="114" w:name="_Toc186124990"/>
      <w:bookmarkStart w:id="115" w:name="_Toc186124165"/>
      <w:bookmarkStart w:id="116" w:name="_Toc10277"/>
      <w:r>
        <w:rPr>
          <w:rStyle w:val="17"/>
          <w:rFonts w:hint="eastAsia" w:cs="宋体"/>
          <w:b/>
          <w:bCs/>
          <w:color w:val="000000"/>
          <w:sz w:val="32"/>
          <w:szCs w:val="32"/>
          <w:lang w:val="en-US" w:eastAsia="zh-CN"/>
        </w:rPr>
        <w:t>6</w:t>
      </w:r>
      <w:r>
        <w:rPr>
          <w:rStyle w:val="17"/>
          <w:rFonts w:hint="eastAsia" w:ascii="宋体" w:hAnsi="宋体" w:eastAsia="宋体" w:cs="宋体"/>
          <w:b/>
          <w:bCs/>
          <w:color w:val="000000"/>
          <w:sz w:val="32"/>
          <w:szCs w:val="32"/>
          <w:lang w:val="en-US" w:eastAsia="zh-CN"/>
        </w:rPr>
        <w:t xml:space="preserve"> 应急保障</w:t>
      </w:r>
      <w:bookmarkEnd w:id="114"/>
      <w:bookmarkEnd w:id="115"/>
      <w:bookmarkEnd w:id="116"/>
    </w:p>
    <w:p w14:paraId="0E52D8F1">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17" w:name="_Toc186124991"/>
      <w:bookmarkStart w:id="118" w:name="_Toc13854"/>
      <w:bookmarkStart w:id="119" w:name="_Toc186124166"/>
      <w:bookmarkStart w:id="120" w:name="_Toc186123003"/>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.1 队伍保障</w:t>
      </w:r>
      <w:bookmarkEnd w:id="117"/>
      <w:bookmarkEnd w:id="118"/>
      <w:bookmarkEnd w:id="119"/>
      <w:bookmarkEnd w:id="120"/>
    </w:p>
    <w:p w14:paraId="09F2925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温泉镇人民政府</w:t>
      </w:r>
      <w:r>
        <w:rPr>
          <w:rFonts w:hint="eastAsia" w:ascii="宋体" w:hAnsi="宋体" w:eastAsia="宋体" w:cs="宋体"/>
          <w:color w:val="auto"/>
          <w:sz w:val="28"/>
          <w:szCs w:val="28"/>
          <w:lang w:val="en-US" w:eastAsia="zh-CN"/>
        </w:rPr>
        <w:t>有关部门和单位要加强环境应急救援队伍能力建设。环境监测队伍、消防救援队伍、大型国有骨干企业应急救援队伍及其他相关方面应急救援队伍，要积极参加突发环境事件的应急监测、应急处置、调查处理等工作，提高响应能力和应对能力。要加强环境应急专家队伍管理，为制定突发环境事件应急处置方案、评估污染损害、开展调查处理等工作提供决策建议。</w:t>
      </w:r>
    </w:p>
    <w:p w14:paraId="669A0B6D">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1" w:name="_Toc186123004"/>
      <w:bookmarkStart w:id="122" w:name="_Toc186124167"/>
      <w:bookmarkStart w:id="123" w:name="_Toc25080"/>
      <w:bookmarkStart w:id="124" w:name="_Toc186124992"/>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.2 物资、装备与资金保障</w:t>
      </w:r>
      <w:bookmarkEnd w:id="121"/>
      <w:bookmarkEnd w:id="122"/>
      <w:bookmarkEnd w:id="123"/>
      <w:bookmarkEnd w:id="124"/>
    </w:p>
    <w:p w14:paraId="3E8014B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温泉镇人民政府</w:t>
      </w:r>
      <w:r>
        <w:rPr>
          <w:rFonts w:hint="eastAsia" w:ascii="宋体" w:hAnsi="宋体" w:eastAsia="宋体" w:cs="宋体"/>
          <w:color w:val="auto"/>
          <w:sz w:val="28"/>
          <w:szCs w:val="28"/>
          <w:lang w:val="en-US" w:eastAsia="zh-CN"/>
        </w:rPr>
        <w:t>有关部门和有关单位要结合辖区内环境风险特征，分级、分类储备污染源切断、污染物控制、污染物收集、污染物降解、安全防护、应急通信和指挥以及应急监测等物资装备，鼓励支持社会化应急储备，保障应急装备、应急物资、生活必需品的生产、存储、调拨、供给。要加强对环境应急装备和物资储备的动态管理，将环境应急物资储备统筹纳入应急物资库建设。区财政局要保障突发环境事件应对工作所需必要经费。</w:t>
      </w:r>
    </w:p>
    <w:p w14:paraId="7BF28199">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5" w:name="_Toc186123005"/>
      <w:bookmarkStart w:id="126" w:name="_Toc186124168"/>
      <w:bookmarkStart w:id="127" w:name="_Toc17286"/>
      <w:bookmarkStart w:id="128" w:name="_Toc186124993"/>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.3 通信、交通与运输保障</w:t>
      </w:r>
      <w:bookmarkEnd w:id="125"/>
      <w:bookmarkEnd w:id="126"/>
      <w:bookmarkEnd w:id="127"/>
      <w:bookmarkEnd w:id="128"/>
    </w:p>
    <w:p w14:paraId="7E4C5B87">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温泉镇人民政府</w:t>
      </w:r>
      <w:r>
        <w:rPr>
          <w:rFonts w:hint="eastAsia" w:ascii="宋体" w:hAnsi="宋体" w:eastAsia="宋体" w:cs="宋体"/>
          <w:color w:val="auto"/>
          <w:sz w:val="28"/>
          <w:szCs w:val="28"/>
          <w:lang w:val="en-US" w:eastAsia="zh-CN"/>
        </w:rPr>
        <w:t>要建立健全突发环境事件应急通信保障体系，确保应急期间通信联络和信息传递需要。</w:t>
      </w:r>
    </w:p>
    <w:p w14:paraId="47BBF606">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温泉镇人民政府协助</w:t>
      </w:r>
      <w:r>
        <w:rPr>
          <w:rFonts w:hint="eastAsia" w:ascii="宋体" w:hAnsi="宋体" w:eastAsia="宋体" w:cs="宋体"/>
          <w:color w:val="auto"/>
          <w:sz w:val="28"/>
          <w:szCs w:val="28"/>
          <w:lang w:val="en-US" w:eastAsia="zh-CN"/>
        </w:rPr>
        <w:t>区交通运输委要健全公路、水运、铁路紧急运输保障体系，保障应急响应所需人员、物资、装备、器材等的运输。</w:t>
      </w:r>
    </w:p>
    <w:p w14:paraId="6BB387FA">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温泉镇人民政府协助</w:t>
      </w:r>
      <w:r>
        <w:rPr>
          <w:rFonts w:hint="eastAsia" w:ascii="宋体" w:hAnsi="宋体" w:eastAsia="宋体" w:cs="宋体"/>
          <w:color w:val="auto"/>
          <w:sz w:val="28"/>
          <w:szCs w:val="28"/>
          <w:lang w:val="en-US" w:eastAsia="zh-CN"/>
        </w:rPr>
        <w:t>区公安局加强应急交通管理，保障运送伤病员、应急救援人员、物资、装备、器材车辆的优先通行。</w:t>
      </w:r>
    </w:p>
    <w:p w14:paraId="35B170C4">
      <w:pPr>
        <w:pStyle w:val="4"/>
        <w:keepNext/>
        <w:keepLines/>
        <w:pageBreakBefore w:val="0"/>
        <w:widowControl/>
        <w:kinsoku/>
        <w:wordWrap/>
        <w:overflowPunct/>
        <w:topLinePunct w:val="0"/>
        <w:autoSpaceDE/>
        <w:autoSpaceDN/>
        <w:bidi w:val="0"/>
        <w:adjustRightInd/>
        <w:snapToGrid/>
        <w:spacing w:before="0" w:line="360" w:lineRule="auto"/>
        <w:ind w:firstLine="0" w:firstLineChars="0"/>
        <w:jc w:val="left"/>
        <w:textAlignment w:val="auto"/>
        <w:rPr>
          <w:rFonts w:hint="eastAsia" w:ascii="宋体" w:hAnsi="宋体" w:eastAsia="宋体" w:cs="宋体"/>
          <w:b/>
          <w:bCs/>
          <w:color w:val="000000"/>
          <w:sz w:val="28"/>
          <w:szCs w:val="28"/>
          <w:lang w:val="en-US" w:eastAsia="zh-CN"/>
        </w:rPr>
      </w:pPr>
      <w:bookmarkStart w:id="129" w:name="_Toc186124994"/>
      <w:bookmarkStart w:id="130" w:name="_Toc186123006"/>
      <w:bookmarkStart w:id="131" w:name="_Toc186124169"/>
      <w:bookmarkStart w:id="132" w:name="_Toc31802"/>
      <w:r>
        <w:rPr>
          <w:rFonts w:hint="eastAsia" w:ascii="宋体" w:hAnsi="宋体" w:cs="宋体"/>
          <w:b/>
          <w:bCs/>
          <w:color w:val="000000"/>
          <w:sz w:val="28"/>
          <w:szCs w:val="28"/>
          <w:lang w:val="en-US" w:eastAsia="zh-CN"/>
        </w:rPr>
        <w:t>6</w:t>
      </w:r>
      <w:r>
        <w:rPr>
          <w:rFonts w:hint="eastAsia" w:ascii="宋体" w:hAnsi="宋体" w:eastAsia="宋体" w:cs="宋体"/>
          <w:b/>
          <w:bCs/>
          <w:color w:val="000000"/>
          <w:sz w:val="28"/>
          <w:szCs w:val="28"/>
          <w:lang w:val="en-US" w:eastAsia="zh-CN"/>
        </w:rPr>
        <w:t>.4 技术保障</w:t>
      </w:r>
      <w:bookmarkEnd w:id="129"/>
      <w:bookmarkEnd w:id="130"/>
      <w:bookmarkEnd w:id="131"/>
      <w:bookmarkEnd w:id="132"/>
    </w:p>
    <w:p w14:paraId="3589CC3F">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cs="宋体"/>
          <w:color w:val="auto"/>
          <w:sz w:val="28"/>
          <w:szCs w:val="28"/>
          <w:lang w:val="en-US" w:eastAsia="zh-CN"/>
        </w:rPr>
        <w:t>温泉镇人民政府</w:t>
      </w:r>
      <w:r>
        <w:rPr>
          <w:rFonts w:hint="eastAsia" w:ascii="宋体" w:hAnsi="宋体" w:eastAsia="宋体" w:cs="宋体"/>
          <w:color w:val="auto"/>
          <w:sz w:val="28"/>
          <w:szCs w:val="28"/>
          <w:lang w:val="en-US" w:eastAsia="zh-CN"/>
        </w:rPr>
        <w:t>要加强环境应急指挥系统的优化，依托环境应急指挥技术平台，实现信息综合集成、分析处理、污染损害评估的智能化和数字化。财政</w:t>
      </w:r>
      <w:r>
        <w:rPr>
          <w:rFonts w:hint="eastAsia" w:cs="宋体"/>
          <w:color w:val="auto"/>
          <w:sz w:val="28"/>
          <w:szCs w:val="28"/>
          <w:lang w:val="en-US" w:eastAsia="zh-CN"/>
        </w:rPr>
        <w:t>部门</w:t>
      </w:r>
      <w:r>
        <w:rPr>
          <w:rFonts w:hint="eastAsia" w:ascii="宋体" w:hAnsi="宋体" w:eastAsia="宋体" w:cs="宋体"/>
          <w:color w:val="auto"/>
          <w:sz w:val="28"/>
          <w:szCs w:val="28"/>
          <w:lang w:val="en-US" w:eastAsia="zh-CN"/>
        </w:rPr>
        <w:t>及相关部门要支持先进技术和装备的研发。同时，</w:t>
      </w:r>
      <w:r>
        <w:rPr>
          <w:rFonts w:hint="eastAsia" w:cs="宋体"/>
          <w:color w:val="auto"/>
          <w:sz w:val="28"/>
          <w:szCs w:val="28"/>
          <w:lang w:val="en-US" w:eastAsia="zh-CN"/>
        </w:rPr>
        <w:t>温泉镇人民政府应急</w:t>
      </w:r>
      <w:r>
        <w:rPr>
          <w:rFonts w:hint="eastAsia" w:ascii="宋体" w:hAnsi="宋体" w:eastAsia="宋体" w:cs="宋体"/>
          <w:color w:val="auto"/>
          <w:sz w:val="28"/>
          <w:szCs w:val="28"/>
          <w:lang w:val="en-US" w:eastAsia="zh-CN"/>
        </w:rPr>
        <w:t>指挥部各成员单位应当根据职责在部门应急预案中纳入预防引发环境污染事故及次生、衍生突发环境事件的有关内容，建立完善有关防范水环境污染的基本信息。主要包括：</w:t>
      </w:r>
    </w:p>
    <w:p w14:paraId="43E95F5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（1）流域水系河流数量和分布图，水文参数、水质现状、流域人口、饮用水源保护区等基本信息。</w:t>
      </w:r>
    </w:p>
    <w:p w14:paraId="55DDF149">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（2）工业和农业生产、使用、贮存、销售、运输的环境风险物质的种类、数量、贮存位置及防范措施。</w:t>
      </w:r>
    </w:p>
    <w:p w14:paraId="193CD32D">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（3）工业、生活、畜禽养殖等污染源的排放、数量及分布情况。</w:t>
      </w:r>
    </w:p>
    <w:p w14:paraId="56266D2E">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（4）要落实“找空间、定方案、抓演练”三个要素，编制流域“一河一策一图”环境应急响应方案，提前做好技术保</w:t>
      </w:r>
      <w:r>
        <w:rPr>
          <w:rFonts w:hint="eastAsia" w:cs="宋体"/>
          <w:color w:val="auto"/>
          <w:sz w:val="28"/>
          <w:szCs w:val="28"/>
          <w:lang w:val="en-US" w:eastAsia="zh-CN"/>
        </w:rPr>
        <w:t>障和</w:t>
      </w:r>
      <w:r>
        <w:rPr>
          <w:rFonts w:hint="eastAsia" w:ascii="宋体" w:hAnsi="宋体" w:eastAsia="宋体" w:cs="宋体"/>
          <w:color w:val="auto"/>
          <w:sz w:val="28"/>
          <w:szCs w:val="28"/>
          <w:lang w:val="en-US" w:eastAsia="zh-CN"/>
        </w:rPr>
        <w:t>应急准备。</w:t>
      </w:r>
    </w:p>
    <w:p w14:paraId="1CCA5992">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参与应急处置的有关单位要开展突发环境污染的污染分析、扩散模型和风险评估研究工作，完善各类应急预案，确保应急处置科学、规范、安全。</w:t>
      </w:r>
    </w:p>
    <w:p w14:paraId="5B863A80">
      <w:pPr>
        <w:rPr>
          <w:rFonts w:hint="default" w:ascii="宋体" w:hAnsi="宋体" w:eastAsia="宋体" w:cs="宋体"/>
          <w:color w:val="auto"/>
          <w:kern w:val="2"/>
          <w:sz w:val="28"/>
          <w:szCs w:val="28"/>
          <w:lang w:val="en-US" w:eastAsia="zh-CN" w:bidi="ar-SA"/>
        </w:rPr>
      </w:pPr>
      <w:r>
        <w:rPr>
          <w:rFonts w:hint="default" w:ascii="宋体" w:hAnsi="宋体" w:eastAsia="宋体" w:cs="宋体"/>
          <w:color w:val="auto"/>
          <w:kern w:val="2"/>
          <w:sz w:val="28"/>
          <w:szCs w:val="28"/>
          <w:lang w:val="en-US" w:eastAsia="zh-CN" w:bidi="ar-SA"/>
        </w:rPr>
        <w:br w:type="page"/>
      </w:r>
    </w:p>
    <w:p w14:paraId="1BE5575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auto"/>
        <w:outlineLvl w:val="0"/>
        <w:rPr>
          <w:rFonts w:hint="eastAsia" w:ascii="宋体" w:hAnsi="宋体" w:eastAsia="宋体" w:cs="宋体"/>
          <w:b/>
          <w:bCs/>
          <w:color w:val="auto"/>
          <w:kern w:val="2"/>
          <w:sz w:val="32"/>
          <w:szCs w:val="32"/>
          <w:lang w:val="en-US" w:eastAsia="zh-CN" w:bidi="ar-SA"/>
        </w:rPr>
      </w:pPr>
      <w:bookmarkStart w:id="133" w:name="_Toc21493"/>
      <w:bookmarkStart w:id="134" w:name="_Toc11776"/>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 xml:space="preserve"> 监督管理</w:t>
      </w:r>
      <w:bookmarkEnd w:id="133"/>
      <w:bookmarkEnd w:id="134"/>
    </w:p>
    <w:p w14:paraId="10F32BB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35" w:name="_Toc20048"/>
      <w:bookmarkStart w:id="136" w:name="_Toc14704"/>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.1 应急预案演练</w:t>
      </w:r>
      <w:bookmarkEnd w:id="135"/>
      <w:bookmarkEnd w:id="136"/>
    </w:p>
    <w:p w14:paraId="6DAE6B5E">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为提高环境风险防范意识，增强环境应急处置能力，</w:t>
      </w:r>
      <w:r>
        <w:rPr>
          <w:rFonts w:hint="eastAsia" w:ascii="宋体" w:hAnsi="宋体" w:cs="宋体"/>
          <w:color w:val="auto"/>
          <w:sz w:val="28"/>
          <w:szCs w:val="28"/>
          <w:lang w:val="en-US" w:eastAsia="zh-CN"/>
        </w:rPr>
        <w:t>温泉镇</w:t>
      </w:r>
      <w:r>
        <w:rPr>
          <w:rFonts w:hint="eastAsia" w:ascii="宋体" w:hAnsi="宋体" w:eastAsia="宋体" w:cs="宋体"/>
          <w:color w:val="auto"/>
          <w:sz w:val="28"/>
          <w:szCs w:val="28"/>
          <w:lang w:val="en-US" w:eastAsia="zh-CN"/>
        </w:rPr>
        <w:t>应</w:t>
      </w:r>
      <w:r>
        <w:rPr>
          <w:rFonts w:hint="default" w:ascii="宋体" w:hAnsi="宋体" w:eastAsia="宋体" w:cs="宋体"/>
          <w:color w:val="auto"/>
          <w:sz w:val="28"/>
          <w:szCs w:val="28"/>
          <w:lang w:val="en-US" w:eastAsia="zh-CN"/>
        </w:rPr>
        <w:t>定期开展环境应急预案的实际演练活动。演练活动将根据不同事项制定相应的紧急预案，结合实际作出计划，实施演练，其规定如下：</w:t>
      </w:r>
    </w:p>
    <w:p w14:paraId="4873CAD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1）应急演</w:t>
      </w:r>
      <w:r>
        <w:rPr>
          <w:rFonts w:hint="eastAsia" w:ascii="宋体" w:hAnsi="宋体" w:eastAsia="宋体" w:cs="宋体"/>
          <w:color w:val="auto"/>
          <w:sz w:val="28"/>
          <w:szCs w:val="28"/>
          <w:lang w:val="en-US" w:eastAsia="zh-CN"/>
        </w:rPr>
        <w:t>练</w:t>
      </w:r>
      <w:r>
        <w:rPr>
          <w:rFonts w:hint="default" w:ascii="宋体" w:hAnsi="宋体" w:eastAsia="宋体" w:cs="宋体"/>
          <w:color w:val="auto"/>
          <w:sz w:val="28"/>
          <w:szCs w:val="28"/>
          <w:lang w:val="en-US" w:eastAsia="zh-CN"/>
        </w:rPr>
        <w:t>至少每年一次；</w:t>
      </w:r>
    </w:p>
    <w:p w14:paraId="3505FD72">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2）</w:t>
      </w:r>
      <w:r>
        <w:rPr>
          <w:rFonts w:hint="eastAsia" w:ascii="宋体" w:hAnsi="宋体" w:eastAsia="宋体" w:cs="宋体"/>
          <w:color w:val="auto"/>
          <w:sz w:val="28"/>
          <w:szCs w:val="28"/>
          <w:lang w:val="en-US" w:eastAsia="zh-CN"/>
        </w:rPr>
        <w:t>演练</w:t>
      </w:r>
      <w:r>
        <w:rPr>
          <w:rFonts w:hint="default" w:ascii="宋体" w:hAnsi="宋体" w:eastAsia="宋体" w:cs="宋体"/>
          <w:color w:val="auto"/>
          <w:sz w:val="28"/>
          <w:szCs w:val="28"/>
          <w:lang w:val="en-US" w:eastAsia="zh-CN"/>
        </w:rPr>
        <w:t>事项按照应急预案的编制，逐项</w:t>
      </w:r>
      <w:r>
        <w:rPr>
          <w:rFonts w:hint="eastAsia" w:ascii="宋体" w:hAnsi="宋体" w:eastAsia="宋体" w:cs="宋体"/>
          <w:color w:val="auto"/>
          <w:sz w:val="28"/>
          <w:szCs w:val="28"/>
          <w:lang w:val="en-US" w:eastAsia="zh-CN"/>
        </w:rPr>
        <w:t>反复地演练</w:t>
      </w:r>
      <w:r>
        <w:rPr>
          <w:rFonts w:hint="default" w:ascii="宋体" w:hAnsi="宋体" w:eastAsia="宋体" w:cs="宋体"/>
          <w:color w:val="auto"/>
          <w:sz w:val="28"/>
          <w:szCs w:val="28"/>
          <w:lang w:val="en-US" w:eastAsia="zh-CN"/>
        </w:rPr>
        <w:t>；</w:t>
      </w:r>
    </w:p>
    <w:p w14:paraId="4F91B76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3）明确参加演练的人员，做到人人参加，人人熟练；</w:t>
      </w:r>
    </w:p>
    <w:p w14:paraId="2644793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4）组织辖区内企业开展联合应急演练；</w:t>
      </w:r>
    </w:p>
    <w:p w14:paraId="05A41F61">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4）每一次安排</w:t>
      </w:r>
      <w:r>
        <w:rPr>
          <w:rFonts w:hint="eastAsia" w:ascii="宋体" w:hAnsi="宋体" w:eastAsia="宋体" w:cs="宋体"/>
          <w:color w:val="auto"/>
          <w:sz w:val="28"/>
          <w:szCs w:val="28"/>
          <w:lang w:val="en-US" w:eastAsia="zh-CN"/>
        </w:rPr>
        <w:t>专人</w:t>
      </w:r>
      <w:r>
        <w:rPr>
          <w:rFonts w:hint="default" w:ascii="宋体" w:hAnsi="宋体" w:eastAsia="宋体" w:cs="宋体"/>
          <w:color w:val="auto"/>
          <w:sz w:val="28"/>
          <w:szCs w:val="28"/>
          <w:lang w:val="en-US" w:eastAsia="zh-CN"/>
        </w:rPr>
        <w:t>做好演练文字记录、图</w:t>
      </w:r>
      <w:r>
        <w:rPr>
          <w:rFonts w:hint="eastAsia" w:ascii="宋体" w:hAnsi="宋体" w:cs="宋体"/>
          <w:color w:val="auto"/>
          <w:sz w:val="28"/>
          <w:szCs w:val="28"/>
          <w:lang w:val="en-US" w:eastAsia="zh-CN"/>
        </w:rPr>
        <w:t>片和</w:t>
      </w:r>
      <w:r>
        <w:rPr>
          <w:rFonts w:hint="default" w:ascii="宋体" w:hAnsi="宋体" w:eastAsia="宋体" w:cs="宋体"/>
          <w:color w:val="auto"/>
          <w:sz w:val="28"/>
          <w:szCs w:val="28"/>
          <w:lang w:val="en-US" w:eastAsia="zh-CN"/>
        </w:rPr>
        <w:t>音像资料，并存档；</w:t>
      </w:r>
    </w:p>
    <w:p w14:paraId="7FAA76BC">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5）每一事项演练后，对演练过程进行评估、总结，以便再次演练时进行修正，为完善预案提供依据。</w:t>
      </w:r>
    </w:p>
    <w:p w14:paraId="00225B1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37" w:name="_Toc12907"/>
      <w:bookmarkStart w:id="138" w:name="_Toc11370"/>
      <w:bookmarkStart w:id="139" w:name="_Toc29035"/>
      <w:bookmarkStart w:id="140" w:name="_Toc8627"/>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.2 宣传</w:t>
      </w:r>
      <w:bookmarkEnd w:id="137"/>
      <w:bookmarkEnd w:id="138"/>
      <w:bookmarkEnd w:id="139"/>
      <w:bookmarkEnd w:id="140"/>
    </w:p>
    <w:p w14:paraId="0FA4DBA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重庆市开州区</w:t>
      </w:r>
      <w:r>
        <w:rPr>
          <w:rFonts w:hint="eastAsia" w:ascii="宋体" w:hAnsi="宋体" w:cs="宋体"/>
          <w:color w:val="auto"/>
          <w:sz w:val="28"/>
          <w:szCs w:val="28"/>
          <w:lang w:val="en-US" w:eastAsia="zh-CN"/>
        </w:rPr>
        <w:t>温泉镇</w:t>
      </w:r>
      <w:r>
        <w:rPr>
          <w:rFonts w:hint="eastAsia" w:ascii="宋体" w:hAnsi="宋体" w:eastAsia="宋体" w:cs="宋体"/>
          <w:color w:val="auto"/>
          <w:sz w:val="28"/>
          <w:szCs w:val="28"/>
          <w:lang w:val="en-US" w:eastAsia="zh-CN"/>
        </w:rPr>
        <w:t>辖区内各企业应向员工说明本单位所涉及的环境风险物质的危险特性及发生事件可能造成的危害。广泛宣传突发环境事件有关法律法规和预防、避险、避灾、自救、互救的应急常识。增强职工应对突发环境事件的知识，增强应对突发环境事件的能力。</w:t>
      </w:r>
    </w:p>
    <w:p w14:paraId="230A254F">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掌握预案、应用预案处置突发环境事件。</w:t>
      </w:r>
    </w:p>
    <w:p w14:paraId="5FCA732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eastAsia" w:ascii="宋体" w:hAnsi="宋体" w:eastAsia="宋体" w:cs="宋体"/>
          <w:b/>
          <w:bCs/>
          <w:color w:val="auto"/>
          <w:kern w:val="2"/>
          <w:sz w:val="32"/>
          <w:szCs w:val="32"/>
          <w:lang w:val="en-US" w:eastAsia="zh-CN" w:bidi="ar-SA"/>
        </w:rPr>
      </w:pPr>
      <w:bookmarkStart w:id="141" w:name="_Toc27877"/>
      <w:bookmarkStart w:id="142" w:name="_Toc23169"/>
      <w:bookmarkStart w:id="143" w:name="_Toc6999"/>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.3 培训</w:t>
      </w:r>
      <w:bookmarkEnd w:id="141"/>
      <w:bookmarkEnd w:id="142"/>
      <w:bookmarkEnd w:id="143"/>
    </w:p>
    <w:p w14:paraId="6A5368E8">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培训基本任务是：在突发环境事件情况下的快速抢险堵源，及时营救伤员、正确指导和帮助群众防护与撤离、有效消除环境危害，开展现场急救和伤员转送等技能和应急反应综合素质，有效降低突发环境事件对周边环境的危害，减少突发环境事件造成的损失。</w:t>
      </w:r>
    </w:p>
    <w:p w14:paraId="21A89A8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1"/>
        <w:rPr>
          <w:rFonts w:hint="default" w:ascii="宋体" w:hAnsi="宋体" w:eastAsia="宋体" w:cs="宋体"/>
          <w:b/>
          <w:bCs/>
          <w:color w:val="auto"/>
          <w:kern w:val="2"/>
          <w:sz w:val="32"/>
          <w:szCs w:val="32"/>
          <w:lang w:val="en-US" w:eastAsia="zh-CN" w:bidi="ar-SA"/>
        </w:rPr>
      </w:pPr>
      <w:bookmarkStart w:id="144" w:name="_Toc29430"/>
      <w:bookmarkStart w:id="145" w:name="_Toc5163"/>
      <w:bookmarkStart w:id="146" w:name="_Toc26469"/>
      <w:r>
        <w:rPr>
          <w:rFonts w:hint="eastAsia" w:ascii="宋体" w:hAnsi="宋体" w:cs="宋体"/>
          <w:b/>
          <w:bCs/>
          <w:color w:val="auto"/>
          <w:kern w:val="2"/>
          <w:sz w:val="32"/>
          <w:szCs w:val="32"/>
          <w:lang w:val="en-US" w:eastAsia="zh-CN" w:bidi="ar-SA"/>
        </w:rPr>
        <w:t>7</w:t>
      </w:r>
      <w:r>
        <w:rPr>
          <w:rFonts w:hint="eastAsia" w:ascii="宋体" w:hAnsi="宋体" w:eastAsia="宋体" w:cs="宋体"/>
          <w:b/>
          <w:bCs/>
          <w:color w:val="auto"/>
          <w:kern w:val="2"/>
          <w:sz w:val="32"/>
          <w:szCs w:val="32"/>
          <w:lang w:val="en-US" w:eastAsia="zh-CN" w:bidi="ar-SA"/>
        </w:rPr>
        <w:t>.4 预案管理</w:t>
      </w:r>
      <w:bookmarkEnd w:id="144"/>
      <w:bookmarkEnd w:id="145"/>
      <w:bookmarkEnd w:id="146"/>
    </w:p>
    <w:p w14:paraId="4BDD9D85">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cs="宋体"/>
          <w:b/>
          <w:bCs/>
          <w:color w:val="auto"/>
          <w:kern w:val="2"/>
          <w:sz w:val="28"/>
          <w:szCs w:val="28"/>
          <w:lang w:val="en-US" w:eastAsia="zh-CN" w:bidi="ar-SA"/>
        </w:rPr>
        <w:t>7</w:t>
      </w:r>
      <w:r>
        <w:rPr>
          <w:rFonts w:hint="eastAsia" w:ascii="宋体" w:hAnsi="宋体" w:eastAsia="宋体" w:cs="宋体"/>
          <w:b/>
          <w:bCs/>
          <w:color w:val="auto"/>
          <w:kern w:val="2"/>
          <w:sz w:val="28"/>
          <w:szCs w:val="28"/>
          <w:lang w:val="en-US" w:eastAsia="zh-CN" w:bidi="ar-SA"/>
        </w:rPr>
        <w:t>.4.1 预案的制定和解释</w:t>
      </w:r>
    </w:p>
    <w:p w14:paraId="76AF6923">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温泉镇</w:t>
      </w:r>
      <w:r>
        <w:rPr>
          <w:rFonts w:hint="eastAsia" w:ascii="宋体" w:hAnsi="宋体" w:eastAsia="宋体" w:cs="宋体"/>
          <w:color w:val="auto"/>
          <w:sz w:val="28"/>
          <w:szCs w:val="28"/>
          <w:lang w:val="en-US" w:eastAsia="zh-CN"/>
        </w:rPr>
        <w:t>通过对辖区</w:t>
      </w:r>
      <w:r>
        <w:rPr>
          <w:rFonts w:hint="default" w:ascii="宋体" w:hAnsi="宋体" w:eastAsia="宋体" w:cs="宋体"/>
          <w:color w:val="auto"/>
          <w:sz w:val="28"/>
          <w:szCs w:val="28"/>
          <w:lang w:val="en-US" w:eastAsia="zh-CN"/>
        </w:rPr>
        <w:t>重点环境风险源定期开展预案评估工作，按有关规定及时组织预案修订工作</w:t>
      </w:r>
      <w:r>
        <w:rPr>
          <w:rFonts w:hint="eastAsia" w:ascii="宋体" w:hAnsi="宋体" w:eastAsia="宋体" w:cs="宋体"/>
          <w:color w:val="auto"/>
          <w:sz w:val="28"/>
          <w:szCs w:val="28"/>
          <w:lang w:val="en-US" w:eastAsia="zh-CN"/>
        </w:rPr>
        <w:t>，原则上不超过三年</w:t>
      </w:r>
      <w:r>
        <w:rPr>
          <w:rFonts w:hint="default" w:ascii="宋体" w:hAnsi="宋体" w:eastAsia="宋体" w:cs="宋体"/>
          <w:color w:val="auto"/>
          <w:sz w:val="28"/>
          <w:szCs w:val="28"/>
          <w:lang w:val="en-US" w:eastAsia="zh-CN"/>
        </w:rPr>
        <w:t>。</w:t>
      </w:r>
    </w:p>
    <w:p w14:paraId="6CA67250">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t>本预案由</w:t>
      </w:r>
      <w:r>
        <w:rPr>
          <w:rFonts w:hint="eastAsia" w:ascii="宋体" w:hAnsi="宋体" w:cs="宋体"/>
          <w:color w:val="auto"/>
          <w:sz w:val="28"/>
          <w:szCs w:val="28"/>
          <w:lang w:val="en-US" w:eastAsia="zh-CN"/>
        </w:rPr>
        <w:t>重庆市开州区温泉镇人民政府</w:t>
      </w:r>
      <w:r>
        <w:rPr>
          <w:rFonts w:hint="default" w:ascii="宋体" w:hAnsi="宋体" w:eastAsia="宋体" w:cs="宋体"/>
          <w:color w:val="auto"/>
          <w:sz w:val="28"/>
          <w:szCs w:val="28"/>
          <w:lang w:val="en-US" w:eastAsia="zh-CN"/>
        </w:rPr>
        <w:t>负责解释</w:t>
      </w:r>
    </w:p>
    <w:p w14:paraId="1B0B8D2D">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outlineLvl w:val="2"/>
        <w:rPr>
          <w:rFonts w:hint="eastAsia" w:ascii="宋体" w:hAnsi="宋体" w:eastAsia="宋体" w:cs="宋体"/>
          <w:b/>
          <w:bCs/>
          <w:color w:val="auto"/>
          <w:kern w:val="2"/>
          <w:sz w:val="28"/>
          <w:szCs w:val="28"/>
          <w:lang w:val="en-US" w:eastAsia="zh-CN" w:bidi="ar-SA"/>
        </w:rPr>
      </w:pPr>
      <w:r>
        <w:rPr>
          <w:rFonts w:hint="eastAsia" w:ascii="宋体" w:hAnsi="宋体" w:cs="宋体"/>
          <w:b/>
          <w:bCs/>
          <w:color w:val="auto"/>
          <w:kern w:val="2"/>
          <w:sz w:val="28"/>
          <w:szCs w:val="28"/>
          <w:lang w:val="en-US" w:eastAsia="zh-CN" w:bidi="ar-SA"/>
        </w:rPr>
        <w:t>7</w:t>
      </w:r>
      <w:r>
        <w:rPr>
          <w:rFonts w:hint="eastAsia" w:ascii="宋体" w:hAnsi="宋体" w:eastAsia="宋体" w:cs="宋体"/>
          <w:b/>
          <w:bCs/>
          <w:color w:val="auto"/>
          <w:kern w:val="2"/>
          <w:sz w:val="28"/>
          <w:szCs w:val="28"/>
          <w:lang w:val="en-US" w:eastAsia="zh-CN" w:bidi="ar-SA"/>
        </w:rPr>
        <w:t>.4.2 实施时间</w:t>
      </w:r>
    </w:p>
    <w:p w14:paraId="28514ED7">
      <w:pPr>
        <w:pageBreakBefore w:val="0"/>
        <w:kinsoku/>
        <w:wordWrap/>
        <w:overflowPunct/>
        <w:topLinePunct w:val="0"/>
        <w:autoSpaceDE/>
        <w:autoSpaceDN/>
        <w:bidi w:val="0"/>
        <w:adjustRightInd w:val="0"/>
        <w:snapToGrid w:val="0"/>
        <w:spacing w:line="360" w:lineRule="auto"/>
        <w:ind w:left="0" w:leftChars="0" w:right="0" w:firstLine="560" w:firstLineChars="20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本预案自印发之日起实施。</w:t>
      </w:r>
    </w:p>
    <w:p w14:paraId="71EBF852">
      <w:pPr>
        <w:rPr>
          <w:rFonts w:hint="eastAsia" w:ascii="宋体" w:hAnsi="宋体" w:cs="宋体"/>
          <w:b/>
          <w:bCs/>
          <w:color w:val="auto"/>
          <w:kern w:val="2"/>
          <w:sz w:val="32"/>
          <w:szCs w:val="32"/>
          <w:lang w:val="en-US" w:eastAsia="zh-CN" w:bidi="ar-SA"/>
        </w:rPr>
      </w:pPr>
      <w:r>
        <w:rPr>
          <w:rFonts w:hint="eastAsia" w:ascii="宋体" w:hAnsi="宋体" w:cs="宋体"/>
          <w:b/>
          <w:bCs/>
          <w:color w:val="auto"/>
          <w:kern w:val="2"/>
          <w:sz w:val="32"/>
          <w:szCs w:val="32"/>
          <w:lang w:val="en-US" w:eastAsia="zh-CN" w:bidi="ar-SA"/>
        </w:rPr>
        <w:br w:type="page"/>
      </w:r>
    </w:p>
    <w:p w14:paraId="75302C0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auto"/>
        <w:outlineLvl w:val="0"/>
        <w:rPr>
          <w:rFonts w:hint="eastAsia" w:ascii="宋体" w:hAnsi="宋体" w:eastAsia="宋体" w:cs="宋体"/>
          <w:b/>
          <w:bCs/>
          <w:color w:val="auto"/>
          <w:kern w:val="2"/>
          <w:sz w:val="32"/>
          <w:szCs w:val="32"/>
          <w:lang w:val="en-US" w:eastAsia="zh-CN" w:bidi="ar-SA"/>
        </w:rPr>
      </w:pPr>
      <w:r>
        <w:rPr>
          <w:rFonts w:hint="eastAsia" w:ascii="宋体" w:hAnsi="宋体" w:cs="宋体"/>
          <w:b/>
          <w:bCs/>
          <w:color w:val="auto"/>
          <w:kern w:val="2"/>
          <w:sz w:val="32"/>
          <w:szCs w:val="32"/>
          <w:lang w:val="en-US" w:eastAsia="zh-CN" w:bidi="ar-SA"/>
        </w:rPr>
        <w:t>8</w:t>
      </w:r>
      <w:r>
        <w:rPr>
          <w:rFonts w:hint="eastAsia" w:ascii="宋体" w:hAnsi="宋体" w:eastAsia="宋体" w:cs="宋体"/>
          <w:b/>
          <w:bCs/>
          <w:color w:val="auto"/>
          <w:kern w:val="2"/>
          <w:sz w:val="32"/>
          <w:szCs w:val="32"/>
          <w:lang w:val="en-US" w:eastAsia="zh-CN" w:bidi="ar-SA"/>
        </w:rPr>
        <w:t xml:space="preserve"> 附件和附图</w:t>
      </w:r>
      <w:bookmarkEnd w:id="44"/>
      <w:bookmarkEnd w:id="45"/>
      <w:bookmarkEnd w:id="46"/>
    </w:p>
    <w:p w14:paraId="1DB020A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附件1：应急组织机构名单</w:t>
      </w:r>
    </w:p>
    <w:p w14:paraId="23B8A35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附件2：温泉镇环境突发事件应急物资清单</w:t>
      </w:r>
    </w:p>
    <w:p w14:paraId="075AA09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附件3：开州区生态环境局应急物资储备情况</w:t>
      </w:r>
    </w:p>
    <w:p w14:paraId="0122AEC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附图1：开州区行政区划图</w:t>
      </w:r>
    </w:p>
    <w:p w14:paraId="4043771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附图2：开州区水系图</w:t>
      </w:r>
    </w:p>
    <w:p w14:paraId="159DC61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附图3-1  开州区温泉镇东河温泉供水站水源地地理位置图</w:t>
      </w:r>
    </w:p>
    <w:p w14:paraId="0B33589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附图3-2  开州区温泉镇东河温泉场镇集中供水工程水源地地理位置图</w:t>
      </w:r>
    </w:p>
    <w:p w14:paraId="174C708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附图4-1  开州区温泉镇东河温泉供水站水源地及固定、移动风险源分布图</w:t>
      </w:r>
    </w:p>
    <w:p w14:paraId="584907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附图4-2  开州区温泉镇东河温泉场镇集中供水工程水源地及固定、移动风险源分布图</w:t>
      </w:r>
    </w:p>
    <w:p w14:paraId="3E8CB0F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附图5 突发环境事件应急物资分布图</w:t>
      </w:r>
    </w:p>
    <w:p w14:paraId="56B1462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附图6 饮用水源地监测点位分布图</w:t>
      </w:r>
    </w:p>
    <w:p w14:paraId="793C1DAF">
      <w:pPr>
        <w:widowControl/>
        <w:adjustRightInd w:val="0"/>
        <w:snapToGrid w:val="0"/>
        <w:spacing w:line="520" w:lineRule="exact"/>
        <w:ind w:firstLine="480" w:firstLineChars="200"/>
        <w:rPr>
          <w:rFonts w:hint="eastAsia"/>
          <w:color w:val="FF0000"/>
          <w:sz w:val="24"/>
        </w:rPr>
      </w:pPr>
    </w:p>
    <w:p w14:paraId="7D73B04B">
      <w:pPr>
        <w:widowControl/>
        <w:adjustRightInd w:val="0"/>
        <w:snapToGrid w:val="0"/>
        <w:spacing w:line="520" w:lineRule="exact"/>
        <w:ind w:firstLine="480" w:firstLineChars="200"/>
        <w:rPr>
          <w:rFonts w:hint="eastAsia"/>
          <w:color w:val="FF0000"/>
          <w:sz w:val="24"/>
        </w:rPr>
      </w:pPr>
    </w:p>
    <w:p w14:paraId="2381CD8B">
      <w:pPr>
        <w:widowControl/>
        <w:adjustRightInd w:val="0"/>
        <w:snapToGrid w:val="0"/>
        <w:spacing w:line="520" w:lineRule="exact"/>
        <w:ind w:firstLine="480" w:firstLineChars="200"/>
        <w:rPr>
          <w:rFonts w:hint="eastAsia"/>
          <w:color w:val="FF0000"/>
          <w:sz w:val="24"/>
        </w:rPr>
      </w:pPr>
    </w:p>
    <w:p w14:paraId="3CCF96AE">
      <w:pPr>
        <w:widowControl/>
        <w:adjustRightInd w:val="0"/>
        <w:snapToGrid w:val="0"/>
        <w:spacing w:line="520" w:lineRule="exact"/>
        <w:ind w:firstLine="480" w:firstLineChars="200"/>
        <w:rPr>
          <w:rFonts w:hint="eastAsia"/>
          <w:color w:val="FF0000"/>
          <w:sz w:val="24"/>
        </w:rPr>
      </w:pPr>
    </w:p>
    <w:p w14:paraId="6F708A63">
      <w:pPr>
        <w:widowControl/>
        <w:adjustRightInd w:val="0"/>
        <w:snapToGrid w:val="0"/>
        <w:spacing w:line="520" w:lineRule="exact"/>
        <w:ind w:firstLine="480" w:firstLineChars="200"/>
        <w:rPr>
          <w:rFonts w:hint="eastAsia"/>
          <w:color w:val="FF0000"/>
          <w:sz w:val="24"/>
        </w:rPr>
      </w:pPr>
    </w:p>
    <w:p w14:paraId="387C8FC9">
      <w:pPr>
        <w:widowControl/>
        <w:adjustRightInd w:val="0"/>
        <w:snapToGrid w:val="0"/>
        <w:spacing w:line="520" w:lineRule="exact"/>
        <w:ind w:firstLine="480" w:firstLineChars="200"/>
        <w:rPr>
          <w:rFonts w:hint="eastAsia"/>
          <w:color w:val="FF0000"/>
          <w:sz w:val="24"/>
        </w:rPr>
      </w:pPr>
    </w:p>
    <w:p w14:paraId="6BCE014E">
      <w:pPr>
        <w:widowControl/>
        <w:adjustRightInd w:val="0"/>
        <w:snapToGrid w:val="0"/>
        <w:spacing w:line="520" w:lineRule="exact"/>
        <w:ind w:firstLine="480" w:firstLineChars="200"/>
        <w:rPr>
          <w:rFonts w:hint="eastAsia"/>
          <w:color w:val="FF0000"/>
          <w:sz w:val="24"/>
        </w:rPr>
      </w:pPr>
    </w:p>
    <w:p w14:paraId="5EFC06B5">
      <w:pPr>
        <w:widowControl/>
        <w:adjustRightInd w:val="0"/>
        <w:snapToGrid w:val="0"/>
        <w:spacing w:line="520" w:lineRule="exact"/>
        <w:ind w:firstLine="480" w:firstLineChars="200"/>
        <w:rPr>
          <w:rFonts w:hint="eastAsia"/>
          <w:color w:val="FF0000"/>
          <w:sz w:val="24"/>
        </w:rPr>
      </w:pPr>
    </w:p>
    <w:p w14:paraId="369084CB">
      <w:pPr>
        <w:widowControl/>
        <w:adjustRightInd w:val="0"/>
        <w:snapToGrid w:val="0"/>
        <w:spacing w:line="520" w:lineRule="exact"/>
        <w:ind w:firstLine="480" w:firstLineChars="200"/>
        <w:rPr>
          <w:rFonts w:hint="eastAsia"/>
          <w:color w:val="FF0000"/>
          <w:sz w:val="24"/>
        </w:rPr>
      </w:pPr>
    </w:p>
    <w:p w14:paraId="783E2103">
      <w:pPr>
        <w:widowControl/>
        <w:adjustRightInd w:val="0"/>
        <w:snapToGrid w:val="0"/>
        <w:spacing w:line="520" w:lineRule="exact"/>
        <w:ind w:firstLine="480" w:firstLineChars="200"/>
        <w:rPr>
          <w:rFonts w:hint="eastAsia"/>
          <w:color w:val="FF0000"/>
          <w:sz w:val="24"/>
        </w:rPr>
      </w:pPr>
    </w:p>
    <w:p w14:paraId="3A6E95D8">
      <w:pPr>
        <w:widowControl/>
        <w:adjustRightInd w:val="0"/>
        <w:snapToGrid w:val="0"/>
        <w:spacing w:line="520" w:lineRule="exact"/>
        <w:ind w:firstLine="480" w:firstLineChars="200"/>
        <w:rPr>
          <w:rFonts w:hint="eastAsia"/>
          <w:color w:val="FF0000"/>
          <w:sz w:val="24"/>
        </w:rPr>
      </w:pPr>
    </w:p>
    <w:p w14:paraId="64495F7B">
      <w:pPr>
        <w:rPr>
          <w:rFonts w:hint="eastAsia" w:ascii="宋体" w:hAnsi="宋体" w:eastAsia="宋体" w:cs="宋体"/>
          <w:color w:val="auto"/>
          <w:sz w:val="28"/>
          <w:szCs w:val="28"/>
        </w:rPr>
      </w:pPr>
      <w:bookmarkStart w:id="147" w:name="_Toc22773"/>
      <w:r>
        <w:rPr>
          <w:rFonts w:hint="eastAsia" w:ascii="宋体" w:hAnsi="宋体" w:eastAsia="宋体" w:cs="宋体"/>
          <w:color w:val="auto"/>
          <w:sz w:val="28"/>
          <w:szCs w:val="28"/>
        </w:rPr>
        <w:br w:type="page"/>
      </w:r>
    </w:p>
    <w:p w14:paraId="685648C1">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default" w:ascii="宋体" w:hAnsi="宋体" w:eastAsia="宋体" w:cs="宋体"/>
          <w:color w:val="auto"/>
          <w:sz w:val="21"/>
          <w:szCs w:val="21"/>
          <w:lang w:val="en-US" w:eastAsia="zh-CN"/>
        </w:rPr>
      </w:pPr>
      <w:bookmarkStart w:id="148" w:name="_Toc31014"/>
      <w:r>
        <w:rPr>
          <w:rFonts w:hint="eastAsia" w:ascii="宋体" w:hAnsi="宋体" w:eastAsia="宋体" w:cs="宋体"/>
          <w:color w:val="auto"/>
          <w:sz w:val="28"/>
          <w:szCs w:val="28"/>
        </w:rPr>
        <w:t>附件1：</w:t>
      </w:r>
      <w:r>
        <w:rPr>
          <w:rFonts w:hint="eastAsia" w:ascii="宋体" w:hAnsi="宋体" w:eastAsia="宋体" w:cs="宋体"/>
          <w:color w:val="auto"/>
          <w:sz w:val="28"/>
          <w:szCs w:val="28"/>
          <w:lang w:val="en-US" w:eastAsia="zh-CN"/>
        </w:rPr>
        <w:t>应急组织机构名单</w:t>
      </w:r>
      <w:bookmarkEnd w:id="147"/>
      <w:bookmarkEnd w:id="148"/>
    </w:p>
    <w:p w14:paraId="47CC7279">
      <w:pPr>
        <w:widowControl/>
        <w:jc w:val="center"/>
        <w:rPr>
          <w:rFonts w:hint="eastAsia" w:ascii="宋体" w:hAnsi="宋体" w:cs="宋体"/>
          <w:b/>
          <w:bCs/>
          <w:color w:val="auto"/>
          <w:kern w:val="0"/>
          <w:sz w:val="24"/>
        </w:rPr>
      </w:pPr>
      <w:r>
        <w:rPr>
          <w:rFonts w:hint="eastAsia" w:ascii="宋体" w:hAnsi="宋体" w:cs="宋体"/>
          <w:b/>
          <w:bCs/>
          <w:color w:val="auto"/>
          <w:kern w:val="0"/>
          <w:sz w:val="24"/>
        </w:rPr>
        <w:t>应急队伍名单</w:t>
      </w:r>
    </w:p>
    <w:tbl>
      <w:tblPr>
        <w:tblStyle w:val="1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3"/>
        <w:gridCol w:w="1313"/>
        <w:gridCol w:w="1286"/>
        <w:gridCol w:w="2526"/>
        <w:gridCol w:w="1636"/>
      </w:tblGrid>
      <w:tr w14:paraId="7F34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tcBorders>
              <w:tl2br w:val="nil"/>
              <w:tr2bl w:val="nil"/>
            </w:tcBorders>
            <w:noWrap w:val="0"/>
            <w:vAlign w:val="center"/>
          </w:tcPr>
          <w:p w14:paraId="21BF21F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rPr>
              <w:t>应急</w:t>
            </w:r>
            <w:r>
              <w:rPr>
                <w:rFonts w:hint="eastAsia" w:ascii="宋体" w:hAnsi="宋体" w:eastAsia="宋体" w:cs="宋体"/>
                <w:b w:val="0"/>
                <w:bCs w:val="0"/>
                <w:color w:val="auto"/>
                <w:sz w:val="21"/>
                <w:szCs w:val="21"/>
                <w:lang w:eastAsia="zh-CN"/>
              </w:rPr>
              <w:t>组织机构</w:t>
            </w:r>
          </w:p>
        </w:tc>
        <w:tc>
          <w:tcPr>
            <w:tcW w:w="1313" w:type="dxa"/>
            <w:tcBorders>
              <w:tl2br w:val="nil"/>
              <w:tr2bl w:val="nil"/>
            </w:tcBorders>
            <w:noWrap w:val="0"/>
            <w:vAlign w:val="center"/>
          </w:tcPr>
          <w:p w14:paraId="0688362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应急职务</w:t>
            </w:r>
          </w:p>
        </w:tc>
        <w:tc>
          <w:tcPr>
            <w:tcW w:w="1286" w:type="dxa"/>
            <w:tcBorders>
              <w:tl2br w:val="nil"/>
              <w:tr2bl w:val="nil"/>
            </w:tcBorders>
            <w:noWrap w:val="0"/>
            <w:vAlign w:val="center"/>
          </w:tcPr>
          <w:p w14:paraId="1992BD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姓名</w:t>
            </w:r>
          </w:p>
        </w:tc>
        <w:tc>
          <w:tcPr>
            <w:tcW w:w="2526" w:type="dxa"/>
            <w:tcBorders>
              <w:tl2br w:val="nil"/>
              <w:tr2bl w:val="nil"/>
            </w:tcBorders>
            <w:noWrap w:val="0"/>
            <w:vAlign w:val="center"/>
          </w:tcPr>
          <w:p w14:paraId="6A23C1B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部门（职务）</w:t>
            </w:r>
          </w:p>
        </w:tc>
        <w:tc>
          <w:tcPr>
            <w:tcW w:w="1636" w:type="dxa"/>
            <w:tcBorders>
              <w:tl2br w:val="nil"/>
              <w:tr2bl w:val="nil"/>
            </w:tcBorders>
            <w:noWrap w:val="0"/>
            <w:vAlign w:val="center"/>
          </w:tcPr>
          <w:p w14:paraId="42CCCB4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sz w:val="21"/>
                <w:szCs w:val="21"/>
                <w:vertAlign w:val="baseline"/>
                <w:lang w:eastAsia="zh-CN"/>
              </w:rPr>
              <w:t>联系电话</w:t>
            </w:r>
          </w:p>
        </w:tc>
      </w:tr>
      <w:tr w14:paraId="66B6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restart"/>
            <w:tcBorders>
              <w:tl2br w:val="nil"/>
              <w:tr2bl w:val="nil"/>
            </w:tcBorders>
            <w:noWrap w:val="0"/>
            <w:vAlign w:val="center"/>
          </w:tcPr>
          <w:p w14:paraId="076EA48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应急领导小组</w:t>
            </w:r>
          </w:p>
        </w:tc>
        <w:tc>
          <w:tcPr>
            <w:tcW w:w="1313" w:type="dxa"/>
            <w:tcBorders>
              <w:tl2br w:val="nil"/>
              <w:tr2bl w:val="nil"/>
            </w:tcBorders>
            <w:noWrap w:val="0"/>
            <w:vAlign w:val="center"/>
          </w:tcPr>
          <w:p w14:paraId="6605C66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组长</w:t>
            </w:r>
          </w:p>
        </w:tc>
        <w:tc>
          <w:tcPr>
            <w:tcW w:w="1286" w:type="dxa"/>
            <w:tcBorders>
              <w:tl2br w:val="nil"/>
              <w:tr2bl w:val="nil"/>
            </w:tcBorders>
            <w:noWrap w:val="0"/>
            <w:vAlign w:val="center"/>
          </w:tcPr>
          <w:p w14:paraId="5295AA95">
            <w:pPr>
              <w:spacing w:line="300" w:lineRule="atLeas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邹品生</w:t>
            </w:r>
          </w:p>
        </w:tc>
        <w:tc>
          <w:tcPr>
            <w:tcW w:w="2526" w:type="dxa"/>
            <w:tcBorders>
              <w:tl2br w:val="nil"/>
              <w:tr2bl w:val="nil"/>
            </w:tcBorders>
            <w:noWrap w:val="0"/>
            <w:vAlign w:val="center"/>
          </w:tcPr>
          <w:p w14:paraId="6AEA226B">
            <w:pPr>
              <w:spacing w:line="300" w:lineRule="atLeas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党委书记</w:t>
            </w:r>
          </w:p>
        </w:tc>
        <w:tc>
          <w:tcPr>
            <w:tcW w:w="1636" w:type="dxa"/>
            <w:tcBorders>
              <w:tl2br w:val="nil"/>
              <w:tr2bl w:val="nil"/>
            </w:tcBorders>
            <w:noWrap w:val="0"/>
            <w:vAlign w:val="center"/>
          </w:tcPr>
          <w:p w14:paraId="66137F83">
            <w:pPr>
              <w:spacing w:line="300" w:lineRule="atLeas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13896232617</w:t>
            </w:r>
          </w:p>
        </w:tc>
      </w:tr>
      <w:tr w14:paraId="5062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tcBorders>
              <w:tl2br w:val="nil"/>
              <w:tr2bl w:val="nil"/>
            </w:tcBorders>
            <w:noWrap w:val="0"/>
            <w:vAlign w:val="center"/>
          </w:tcPr>
          <w:p w14:paraId="43267C9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313" w:type="dxa"/>
            <w:vMerge w:val="restart"/>
            <w:tcBorders>
              <w:tl2br w:val="nil"/>
              <w:tr2bl w:val="nil"/>
            </w:tcBorders>
            <w:noWrap w:val="0"/>
            <w:vAlign w:val="center"/>
          </w:tcPr>
          <w:p w14:paraId="1C628FC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副组长</w:t>
            </w:r>
          </w:p>
        </w:tc>
        <w:tc>
          <w:tcPr>
            <w:tcW w:w="1286" w:type="dxa"/>
            <w:tcBorders>
              <w:tl2br w:val="nil"/>
              <w:tr2bl w:val="nil"/>
            </w:tcBorders>
            <w:noWrap w:val="0"/>
            <w:vAlign w:val="center"/>
          </w:tcPr>
          <w:p w14:paraId="51C2E626">
            <w:pPr>
              <w:spacing w:line="300" w:lineRule="atLeas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宋乾立</w:t>
            </w:r>
          </w:p>
        </w:tc>
        <w:tc>
          <w:tcPr>
            <w:tcW w:w="2526" w:type="dxa"/>
            <w:tcBorders>
              <w:tl2br w:val="nil"/>
              <w:tr2bl w:val="nil"/>
            </w:tcBorders>
            <w:noWrap w:val="0"/>
            <w:vAlign w:val="center"/>
          </w:tcPr>
          <w:p w14:paraId="17927790">
            <w:pPr>
              <w:spacing w:line="300" w:lineRule="atLeas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镇长</w:t>
            </w:r>
          </w:p>
        </w:tc>
        <w:tc>
          <w:tcPr>
            <w:tcW w:w="1636" w:type="dxa"/>
            <w:tcBorders>
              <w:tl2br w:val="nil"/>
              <w:tr2bl w:val="nil"/>
            </w:tcBorders>
            <w:noWrap w:val="0"/>
            <w:vAlign w:val="center"/>
          </w:tcPr>
          <w:p w14:paraId="55790832">
            <w:pPr>
              <w:spacing w:line="300" w:lineRule="atLeast"/>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15178982678</w:t>
            </w:r>
          </w:p>
        </w:tc>
      </w:tr>
      <w:tr w14:paraId="50D3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tcBorders>
              <w:tl2br w:val="nil"/>
              <w:tr2bl w:val="nil"/>
            </w:tcBorders>
            <w:noWrap w:val="0"/>
            <w:vAlign w:val="center"/>
          </w:tcPr>
          <w:p w14:paraId="7A851AE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313" w:type="dxa"/>
            <w:vMerge w:val="continue"/>
            <w:tcBorders>
              <w:tl2br w:val="nil"/>
              <w:tr2bl w:val="nil"/>
            </w:tcBorders>
            <w:noWrap w:val="0"/>
            <w:vAlign w:val="center"/>
          </w:tcPr>
          <w:p w14:paraId="428D18F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86" w:type="dxa"/>
            <w:tcBorders>
              <w:tl2br w:val="nil"/>
              <w:tr2bl w:val="nil"/>
            </w:tcBorders>
            <w:noWrap w:val="0"/>
            <w:vAlign w:val="center"/>
          </w:tcPr>
          <w:p w14:paraId="0B06D7B1">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刘闯</w:t>
            </w:r>
          </w:p>
        </w:tc>
        <w:tc>
          <w:tcPr>
            <w:tcW w:w="2526" w:type="dxa"/>
            <w:tcBorders>
              <w:tl2br w:val="nil"/>
              <w:tr2bl w:val="nil"/>
            </w:tcBorders>
            <w:noWrap w:val="0"/>
            <w:vAlign w:val="center"/>
          </w:tcPr>
          <w:p w14:paraId="16BA6513">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副书记</w:t>
            </w:r>
          </w:p>
        </w:tc>
        <w:tc>
          <w:tcPr>
            <w:tcW w:w="1636" w:type="dxa"/>
            <w:tcBorders>
              <w:tl2br w:val="nil"/>
              <w:tr2bl w:val="nil"/>
            </w:tcBorders>
            <w:noWrap w:val="0"/>
            <w:vAlign w:val="center"/>
          </w:tcPr>
          <w:p w14:paraId="4B7DB8B7">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17723235679</w:t>
            </w:r>
          </w:p>
        </w:tc>
      </w:tr>
      <w:tr w14:paraId="76D4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tcBorders>
              <w:tl2br w:val="nil"/>
              <w:tr2bl w:val="nil"/>
            </w:tcBorders>
            <w:noWrap w:val="0"/>
            <w:vAlign w:val="center"/>
          </w:tcPr>
          <w:p w14:paraId="6FD582F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313" w:type="dxa"/>
            <w:vMerge w:val="continue"/>
            <w:tcBorders>
              <w:tl2br w:val="nil"/>
              <w:tr2bl w:val="nil"/>
            </w:tcBorders>
            <w:noWrap w:val="0"/>
            <w:vAlign w:val="center"/>
          </w:tcPr>
          <w:p w14:paraId="4E87A23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86" w:type="dxa"/>
            <w:tcBorders>
              <w:tl2br w:val="nil"/>
              <w:tr2bl w:val="nil"/>
            </w:tcBorders>
            <w:noWrap w:val="0"/>
            <w:vAlign w:val="center"/>
          </w:tcPr>
          <w:p w14:paraId="573AE459">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谭万军</w:t>
            </w:r>
          </w:p>
        </w:tc>
        <w:tc>
          <w:tcPr>
            <w:tcW w:w="2526" w:type="dxa"/>
            <w:tcBorders>
              <w:tl2br w:val="nil"/>
              <w:tr2bl w:val="nil"/>
            </w:tcBorders>
            <w:noWrap w:val="0"/>
            <w:vAlign w:val="center"/>
          </w:tcPr>
          <w:p w14:paraId="7BD7F958">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副镇长</w:t>
            </w:r>
          </w:p>
        </w:tc>
        <w:tc>
          <w:tcPr>
            <w:tcW w:w="1636" w:type="dxa"/>
            <w:tcBorders>
              <w:tl2br w:val="nil"/>
              <w:tr2bl w:val="nil"/>
            </w:tcBorders>
            <w:noWrap w:val="0"/>
            <w:vAlign w:val="center"/>
          </w:tcPr>
          <w:p w14:paraId="619E1149">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15123591133</w:t>
            </w:r>
          </w:p>
        </w:tc>
      </w:tr>
      <w:tr w14:paraId="0786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tcBorders>
              <w:tl2br w:val="nil"/>
              <w:tr2bl w:val="nil"/>
            </w:tcBorders>
            <w:noWrap w:val="0"/>
            <w:vAlign w:val="center"/>
          </w:tcPr>
          <w:p w14:paraId="08A4B24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313" w:type="dxa"/>
            <w:vMerge w:val="continue"/>
            <w:tcBorders>
              <w:tl2br w:val="nil"/>
              <w:tr2bl w:val="nil"/>
            </w:tcBorders>
            <w:noWrap w:val="0"/>
            <w:vAlign w:val="center"/>
          </w:tcPr>
          <w:p w14:paraId="4D1C994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286" w:type="dxa"/>
            <w:tcBorders>
              <w:tl2br w:val="nil"/>
              <w:tr2bl w:val="nil"/>
            </w:tcBorders>
            <w:noWrap w:val="0"/>
            <w:vAlign w:val="center"/>
          </w:tcPr>
          <w:p w14:paraId="69153B95">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陈安静</w:t>
            </w:r>
          </w:p>
        </w:tc>
        <w:tc>
          <w:tcPr>
            <w:tcW w:w="2526" w:type="dxa"/>
            <w:tcBorders>
              <w:tl2br w:val="nil"/>
              <w:tr2bl w:val="nil"/>
            </w:tcBorders>
            <w:noWrap w:val="0"/>
            <w:vAlign w:val="center"/>
          </w:tcPr>
          <w:p w14:paraId="3EEA68D9">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副镇长</w:t>
            </w:r>
          </w:p>
        </w:tc>
        <w:tc>
          <w:tcPr>
            <w:tcW w:w="1636" w:type="dxa"/>
            <w:tcBorders>
              <w:tl2br w:val="nil"/>
              <w:tr2bl w:val="nil"/>
            </w:tcBorders>
            <w:noWrap w:val="0"/>
            <w:vAlign w:val="center"/>
          </w:tcPr>
          <w:p w14:paraId="062E85B2">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13436221868</w:t>
            </w:r>
          </w:p>
        </w:tc>
      </w:tr>
      <w:tr w14:paraId="4953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1D2C87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p>
        </w:tc>
        <w:tc>
          <w:tcPr>
            <w:tcW w:w="1313" w:type="dxa"/>
            <w:vMerge w:val="restart"/>
            <w:noWrap w:val="0"/>
            <w:vAlign w:val="center"/>
          </w:tcPr>
          <w:p w14:paraId="220FFE9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成员</w:t>
            </w:r>
          </w:p>
        </w:tc>
        <w:tc>
          <w:tcPr>
            <w:tcW w:w="1286" w:type="dxa"/>
            <w:noWrap w:val="0"/>
            <w:vAlign w:val="center"/>
          </w:tcPr>
          <w:p w14:paraId="00C4653F">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1"/>
                <w:szCs w:val="21"/>
                <w:lang w:val="en-US" w:eastAsia="zh-CN"/>
              </w:rPr>
              <w:t>李亚玲</w:t>
            </w:r>
          </w:p>
        </w:tc>
        <w:tc>
          <w:tcPr>
            <w:tcW w:w="2526" w:type="dxa"/>
            <w:noWrap w:val="0"/>
            <w:vAlign w:val="center"/>
          </w:tcPr>
          <w:p w14:paraId="27CC97B1">
            <w:pPr>
              <w:spacing w:line="300" w:lineRule="atLeast"/>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sz w:val="21"/>
                <w:szCs w:val="21"/>
                <w:lang w:val="en-US" w:eastAsia="zh-CN"/>
              </w:rPr>
              <w:t>河西社区书记</w:t>
            </w:r>
          </w:p>
        </w:tc>
        <w:tc>
          <w:tcPr>
            <w:tcW w:w="1636" w:type="dxa"/>
            <w:noWrap w:val="0"/>
            <w:vAlign w:val="center"/>
          </w:tcPr>
          <w:p w14:paraId="53CED1BC">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1"/>
                <w:szCs w:val="21"/>
                <w:lang w:val="en-US" w:eastAsia="zh-CN"/>
              </w:rPr>
              <w:t>13594408093</w:t>
            </w:r>
          </w:p>
        </w:tc>
      </w:tr>
      <w:tr w14:paraId="4241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219E2BD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continue"/>
            <w:noWrap w:val="0"/>
            <w:vAlign w:val="center"/>
          </w:tcPr>
          <w:p w14:paraId="3B82200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86" w:type="dxa"/>
            <w:noWrap w:val="0"/>
            <w:vAlign w:val="center"/>
          </w:tcPr>
          <w:p w14:paraId="5651C315">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刘加生</w:t>
            </w:r>
          </w:p>
        </w:tc>
        <w:tc>
          <w:tcPr>
            <w:tcW w:w="2526" w:type="dxa"/>
            <w:noWrap w:val="0"/>
            <w:vAlign w:val="center"/>
          </w:tcPr>
          <w:p w14:paraId="552C5AA7">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产业发展中心</w:t>
            </w:r>
          </w:p>
        </w:tc>
        <w:tc>
          <w:tcPr>
            <w:tcW w:w="1636" w:type="dxa"/>
            <w:noWrap w:val="0"/>
            <w:vAlign w:val="center"/>
          </w:tcPr>
          <w:p w14:paraId="7C1A7C63">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18002356789</w:t>
            </w:r>
          </w:p>
        </w:tc>
      </w:tr>
      <w:tr w14:paraId="49B4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626FCF9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continue"/>
            <w:noWrap w:val="0"/>
            <w:vAlign w:val="center"/>
          </w:tcPr>
          <w:p w14:paraId="7FB355D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86" w:type="dxa"/>
            <w:noWrap w:val="0"/>
            <w:vAlign w:val="center"/>
          </w:tcPr>
          <w:p w14:paraId="5AC557EB">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兰蔚</w:t>
            </w:r>
          </w:p>
        </w:tc>
        <w:tc>
          <w:tcPr>
            <w:tcW w:w="2526" w:type="dxa"/>
            <w:noWrap w:val="0"/>
            <w:vAlign w:val="center"/>
          </w:tcPr>
          <w:p w14:paraId="1AAE1A9C">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村镇建设服务中心</w:t>
            </w:r>
          </w:p>
        </w:tc>
        <w:tc>
          <w:tcPr>
            <w:tcW w:w="1636" w:type="dxa"/>
            <w:noWrap w:val="0"/>
            <w:vAlign w:val="center"/>
          </w:tcPr>
          <w:p w14:paraId="6A43F601">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15178945002 </w:t>
            </w:r>
          </w:p>
        </w:tc>
      </w:tr>
      <w:tr w14:paraId="1263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2011894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continue"/>
            <w:noWrap w:val="0"/>
            <w:vAlign w:val="center"/>
          </w:tcPr>
          <w:p w14:paraId="7F1C4BF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86" w:type="dxa"/>
            <w:noWrap w:val="0"/>
            <w:vAlign w:val="center"/>
          </w:tcPr>
          <w:p w14:paraId="505653A4">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梅钊发</w:t>
            </w:r>
          </w:p>
        </w:tc>
        <w:tc>
          <w:tcPr>
            <w:tcW w:w="2526" w:type="dxa"/>
            <w:noWrap w:val="0"/>
            <w:vAlign w:val="center"/>
          </w:tcPr>
          <w:p w14:paraId="6FCFEBFB">
            <w:pPr>
              <w:spacing w:line="300" w:lineRule="atLeas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经济发展中心</w:t>
            </w:r>
          </w:p>
        </w:tc>
        <w:tc>
          <w:tcPr>
            <w:tcW w:w="1636" w:type="dxa"/>
            <w:noWrap w:val="0"/>
            <w:vAlign w:val="center"/>
          </w:tcPr>
          <w:p w14:paraId="7B91884B">
            <w:pPr>
              <w:spacing w:line="300" w:lineRule="atLeast"/>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15123495163</w:t>
            </w:r>
          </w:p>
        </w:tc>
      </w:tr>
      <w:tr w14:paraId="18B8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restart"/>
            <w:noWrap w:val="0"/>
            <w:vAlign w:val="center"/>
          </w:tcPr>
          <w:p w14:paraId="47D780E2">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现场处置组</w:t>
            </w:r>
          </w:p>
        </w:tc>
        <w:tc>
          <w:tcPr>
            <w:tcW w:w="1313" w:type="dxa"/>
            <w:noWrap w:val="0"/>
            <w:vAlign w:val="center"/>
          </w:tcPr>
          <w:p w14:paraId="7EA0AF65">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1286" w:type="dxa"/>
            <w:noWrap w:val="0"/>
            <w:vAlign w:val="center"/>
          </w:tcPr>
          <w:p w14:paraId="685BDE6B">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谭万军</w:t>
            </w:r>
          </w:p>
        </w:tc>
        <w:tc>
          <w:tcPr>
            <w:tcW w:w="2526" w:type="dxa"/>
            <w:noWrap w:val="0"/>
            <w:vAlign w:val="center"/>
          </w:tcPr>
          <w:p w14:paraId="7CEE7C9E">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副镇长</w:t>
            </w:r>
          </w:p>
        </w:tc>
        <w:tc>
          <w:tcPr>
            <w:tcW w:w="1636" w:type="dxa"/>
            <w:noWrap w:val="0"/>
            <w:vAlign w:val="center"/>
          </w:tcPr>
          <w:p w14:paraId="4BEF0731">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15123591133</w:t>
            </w:r>
          </w:p>
        </w:tc>
      </w:tr>
      <w:tr w14:paraId="053F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4C3CF87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restart"/>
            <w:noWrap w:val="0"/>
            <w:vAlign w:val="center"/>
          </w:tcPr>
          <w:p w14:paraId="61CCDFE3">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1286" w:type="dxa"/>
            <w:noWrap w:val="0"/>
            <w:vAlign w:val="center"/>
          </w:tcPr>
          <w:p w14:paraId="1E3B4045">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陈安静</w:t>
            </w:r>
          </w:p>
        </w:tc>
        <w:tc>
          <w:tcPr>
            <w:tcW w:w="2526" w:type="dxa"/>
            <w:noWrap w:val="0"/>
            <w:vAlign w:val="center"/>
          </w:tcPr>
          <w:p w14:paraId="46251BD4">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副镇长</w:t>
            </w:r>
          </w:p>
        </w:tc>
        <w:tc>
          <w:tcPr>
            <w:tcW w:w="1636" w:type="dxa"/>
            <w:noWrap w:val="0"/>
            <w:vAlign w:val="center"/>
          </w:tcPr>
          <w:p w14:paraId="027B45A9">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13436221868</w:t>
            </w:r>
          </w:p>
        </w:tc>
      </w:tr>
      <w:tr w14:paraId="4189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1D13E7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continue"/>
            <w:noWrap w:val="0"/>
            <w:vAlign w:val="center"/>
          </w:tcPr>
          <w:p w14:paraId="045CDF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86" w:type="dxa"/>
            <w:noWrap w:val="0"/>
            <w:vAlign w:val="center"/>
          </w:tcPr>
          <w:p w14:paraId="6A81AA89">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黎斌</w:t>
            </w:r>
          </w:p>
        </w:tc>
        <w:tc>
          <w:tcPr>
            <w:tcW w:w="2526" w:type="dxa"/>
            <w:noWrap w:val="0"/>
            <w:vAlign w:val="center"/>
          </w:tcPr>
          <w:p w14:paraId="74D8B833">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村镇建设服务中心副主任</w:t>
            </w:r>
          </w:p>
        </w:tc>
        <w:tc>
          <w:tcPr>
            <w:tcW w:w="1636" w:type="dxa"/>
            <w:noWrap w:val="0"/>
            <w:vAlign w:val="center"/>
          </w:tcPr>
          <w:p w14:paraId="1978DA4A">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13668446066</w:t>
            </w:r>
          </w:p>
        </w:tc>
      </w:tr>
      <w:tr w14:paraId="41D3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restart"/>
            <w:noWrap w:val="0"/>
            <w:vAlign w:val="center"/>
          </w:tcPr>
          <w:p w14:paraId="64CEF095">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综合协调组</w:t>
            </w:r>
          </w:p>
        </w:tc>
        <w:tc>
          <w:tcPr>
            <w:tcW w:w="1313" w:type="dxa"/>
            <w:noWrap w:val="0"/>
            <w:vAlign w:val="center"/>
          </w:tcPr>
          <w:p w14:paraId="0FCAD145">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1286" w:type="dxa"/>
            <w:noWrap w:val="0"/>
            <w:vAlign w:val="center"/>
          </w:tcPr>
          <w:p w14:paraId="1D9945D2">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刘闯</w:t>
            </w:r>
          </w:p>
        </w:tc>
        <w:tc>
          <w:tcPr>
            <w:tcW w:w="2526" w:type="dxa"/>
            <w:noWrap w:val="0"/>
            <w:vAlign w:val="center"/>
          </w:tcPr>
          <w:p w14:paraId="397259DA">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副书记</w:t>
            </w:r>
          </w:p>
        </w:tc>
        <w:tc>
          <w:tcPr>
            <w:tcW w:w="1636" w:type="dxa"/>
            <w:noWrap w:val="0"/>
            <w:vAlign w:val="center"/>
          </w:tcPr>
          <w:p w14:paraId="596581F4">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13452631599</w:t>
            </w:r>
          </w:p>
        </w:tc>
      </w:tr>
      <w:tr w14:paraId="7870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540873B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restart"/>
            <w:noWrap w:val="0"/>
            <w:vAlign w:val="center"/>
          </w:tcPr>
          <w:p w14:paraId="3181C667">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1286" w:type="dxa"/>
            <w:noWrap w:val="0"/>
            <w:vAlign w:val="center"/>
          </w:tcPr>
          <w:p w14:paraId="65D7DE44">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张洪</w:t>
            </w:r>
          </w:p>
        </w:tc>
        <w:tc>
          <w:tcPr>
            <w:tcW w:w="2526" w:type="dxa"/>
            <w:noWrap w:val="0"/>
            <w:vAlign w:val="center"/>
          </w:tcPr>
          <w:p w14:paraId="07D889BB">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平安法治办主任</w:t>
            </w:r>
          </w:p>
        </w:tc>
        <w:tc>
          <w:tcPr>
            <w:tcW w:w="1636" w:type="dxa"/>
            <w:noWrap w:val="0"/>
            <w:vAlign w:val="center"/>
          </w:tcPr>
          <w:p w14:paraId="3B86B6C4">
            <w:pPr>
              <w:spacing w:line="300" w:lineRule="atLeast"/>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17830515678</w:t>
            </w:r>
          </w:p>
        </w:tc>
      </w:tr>
      <w:tr w14:paraId="2198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01A6292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continue"/>
            <w:noWrap w:val="0"/>
            <w:vAlign w:val="center"/>
          </w:tcPr>
          <w:p w14:paraId="5263DAA1">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p>
        </w:tc>
        <w:tc>
          <w:tcPr>
            <w:tcW w:w="1286" w:type="dxa"/>
            <w:noWrap w:val="0"/>
            <w:vAlign w:val="center"/>
          </w:tcPr>
          <w:p w14:paraId="4A9EC812">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黄云双</w:t>
            </w:r>
          </w:p>
        </w:tc>
        <w:tc>
          <w:tcPr>
            <w:tcW w:w="2526" w:type="dxa"/>
            <w:noWrap w:val="0"/>
            <w:vAlign w:val="center"/>
          </w:tcPr>
          <w:p w14:paraId="3F44E4EF">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村镇建设服务中心职工</w:t>
            </w:r>
          </w:p>
        </w:tc>
        <w:tc>
          <w:tcPr>
            <w:tcW w:w="1636" w:type="dxa"/>
            <w:noWrap w:val="0"/>
            <w:vAlign w:val="center"/>
          </w:tcPr>
          <w:p w14:paraId="652D17EC">
            <w:pPr>
              <w:spacing w:line="300" w:lineRule="atLeast"/>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17265599558</w:t>
            </w:r>
          </w:p>
        </w:tc>
      </w:tr>
      <w:tr w14:paraId="45D1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restart"/>
            <w:noWrap w:val="0"/>
            <w:vAlign w:val="center"/>
          </w:tcPr>
          <w:p w14:paraId="315375E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eastAsia="zh-CN"/>
              </w:rPr>
              <w:t>警戒疏散组</w:t>
            </w:r>
          </w:p>
        </w:tc>
        <w:tc>
          <w:tcPr>
            <w:tcW w:w="1313" w:type="dxa"/>
            <w:noWrap w:val="0"/>
            <w:vAlign w:val="center"/>
          </w:tcPr>
          <w:p w14:paraId="693E4DF1">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组长</w:t>
            </w:r>
          </w:p>
        </w:tc>
        <w:tc>
          <w:tcPr>
            <w:tcW w:w="1286" w:type="dxa"/>
            <w:noWrap w:val="0"/>
            <w:vAlign w:val="center"/>
          </w:tcPr>
          <w:p w14:paraId="7DE7BAF9">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vertAlign w:val="baseline"/>
                <w:lang w:val="en-US" w:eastAsia="zh-CN" w:bidi="ar-SA"/>
              </w:rPr>
              <w:t>王端全</w:t>
            </w:r>
          </w:p>
        </w:tc>
        <w:tc>
          <w:tcPr>
            <w:tcW w:w="2526" w:type="dxa"/>
            <w:noWrap w:val="0"/>
            <w:vAlign w:val="center"/>
          </w:tcPr>
          <w:p w14:paraId="05C648E8">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aps w:val="0"/>
                <w:color w:val="auto"/>
                <w:spacing w:val="0"/>
                <w:sz w:val="21"/>
                <w:szCs w:val="21"/>
                <w:shd w:val="clear" w:color="auto" w:fill="FFFFFF"/>
                <w:lang w:val="en-US" w:eastAsia="zh-CN"/>
              </w:rPr>
              <w:t>温泉镇派出所所长</w:t>
            </w:r>
          </w:p>
        </w:tc>
        <w:tc>
          <w:tcPr>
            <w:tcW w:w="1636" w:type="dxa"/>
            <w:noWrap w:val="0"/>
            <w:vAlign w:val="center"/>
          </w:tcPr>
          <w:p w14:paraId="7CB36680">
            <w:pPr>
              <w:spacing w:line="300" w:lineRule="atLeast"/>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15923890746</w:t>
            </w:r>
          </w:p>
        </w:tc>
      </w:tr>
      <w:tr w14:paraId="16DA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43BC096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restart"/>
            <w:noWrap w:val="0"/>
            <w:vAlign w:val="center"/>
          </w:tcPr>
          <w:p w14:paraId="625A0AEB">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成员</w:t>
            </w:r>
          </w:p>
        </w:tc>
        <w:tc>
          <w:tcPr>
            <w:tcW w:w="1286" w:type="dxa"/>
            <w:noWrap w:val="0"/>
            <w:vAlign w:val="center"/>
          </w:tcPr>
          <w:p w14:paraId="6CE54B10">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程刚</w:t>
            </w:r>
          </w:p>
        </w:tc>
        <w:tc>
          <w:tcPr>
            <w:tcW w:w="2526" w:type="dxa"/>
            <w:noWrap w:val="0"/>
            <w:vAlign w:val="center"/>
          </w:tcPr>
          <w:p w14:paraId="25356CC8">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aps w:val="0"/>
                <w:color w:val="auto"/>
                <w:spacing w:val="0"/>
                <w:sz w:val="21"/>
                <w:szCs w:val="21"/>
                <w:shd w:val="clear" w:color="auto" w:fill="FFFFFF"/>
                <w:lang w:val="en-US" w:eastAsia="zh-CN"/>
              </w:rPr>
              <w:t>综合执法大队队长</w:t>
            </w:r>
          </w:p>
        </w:tc>
        <w:tc>
          <w:tcPr>
            <w:tcW w:w="1636" w:type="dxa"/>
            <w:noWrap w:val="0"/>
            <w:vAlign w:val="center"/>
          </w:tcPr>
          <w:p w14:paraId="6DCE0CDC">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15823726988</w:t>
            </w:r>
          </w:p>
        </w:tc>
      </w:tr>
      <w:tr w14:paraId="679A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3" w:type="dxa"/>
            <w:vMerge w:val="continue"/>
            <w:noWrap w:val="0"/>
            <w:vAlign w:val="center"/>
          </w:tcPr>
          <w:p w14:paraId="503DD48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313" w:type="dxa"/>
            <w:vMerge w:val="continue"/>
            <w:noWrap w:val="0"/>
            <w:vAlign w:val="center"/>
          </w:tcPr>
          <w:p w14:paraId="4E12B6A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sz w:val="21"/>
                <w:szCs w:val="21"/>
                <w:vertAlign w:val="baseline"/>
                <w:lang w:val="en-US" w:eastAsia="zh-CN"/>
              </w:rPr>
            </w:pPr>
          </w:p>
        </w:tc>
        <w:tc>
          <w:tcPr>
            <w:tcW w:w="1286" w:type="dxa"/>
            <w:noWrap w:val="0"/>
            <w:vAlign w:val="center"/>
          </w:tcPr>
          <w:p w14:paraId="1E1E7BDD">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曾勇</w:t>
            </w:r>
          </w:p>
        </w:tc>
        <w:tc>
          <w:tcPr>
            <w:tcW w:w="2526" w:type="dxa"/>
            <w:noWrap w:val="0"/>
            <w:vAlign w:val="center"/>
          </w:tcPr>
          <w:p w14:paraId="18C1615E">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平安法治办副主任</w:t>
            </w:r>
          </w:p>
        </w:tc>
        <w:tc>
          <w:tcPr>
            <w:tcW w:w="1636" w:type="dxa"/>
            <w:noWrap w:val="0"/>
            <w:vAlign w:val="center"/>
          </w:tcPr>
          <w:p w14:paraId="08500936">
            <w:pPr>
              <w:spacing w:line="300" w:lineRule="atLeast"/>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vertAlign w:val="baseline"/>
                <w:lang w:val="en-US" w:eastAsia="zh-CN" w:bidi="ar-SA"/>
              </w:rPr>
              <w:t>13452631599</w:t>
            </w:r>
          </w:p>
        </w:tc>
      </w:tr>
    </w:tbl>
    <w:p w14:paraId="2F3D0883">
      <w:pPr>
        <w:widowControl/>
        <w:jc w:val="center"/>
        <w:rPr>
          <w:rFonts w:hint="eastAsia" w:ascii="宋体" w:hAnsi="宋体" w:cs="宋体"/>
          <w:b/>
          <w:bCs/>
          <w:color w:val="FF0000"/>
          <w:kern w:val="0"/>
          <w:sz w:val="24"/>
        </w:rPr>
      </w:pPr>
    </w:p>
    <w:p w14:paraId="3BAED648">
      <w:pPr>
        <w:pStyle w:val="19"/>
        <w:rPr>
          <w:rFonts w:hint="eastAsia" w:ascii="宋体" w:hAnsi="宋体" w:cs="宋体"/>
          <w:b/>
          <w:bCs/>
          <w:color w:val="FF0000"/>
          <w:kern w:val="0"/>
          <w:sz w:val="24"/>
        </w:rPr>
      </w:pPr>
    </w:p>
    <w:p w14:paraId="0F5AB690">
      <w:pPr>
        <w:pStyle w:val="19"/>
        <w:rPr>
          <w:rFonts w:hint="eastAsia" w:ascii="宋体" w:hAnsi="宋体" w:cs="宋体"/>
          <w:b/>
          <w:bCs/>
          <w:color w:val="FF0000"/>
          <w:kern w:val="0"/>
          <w:sz w:val="24"/>
        </w:rPr>
      </w:pPr>
    </w:p>
    <w:p w14:paraId="32BF5F5C">
      <w:pPr>
        <w:widowControl/>
        <w:jc w:val="center"/>
        <w:rPr>
          <w:rFonts w:ascii="仿宋_GB2312" w:hAnsi="宋体" w:eastAsia="仿宋_GB2312" w:cs="宋体"/>
          <w:color w:val="FF0000"/>
          <w:kern w:val="0"/>
          <w:sz w:val="24"/>
        </w:rPr>
        <w:sectPr>
          <w:footerReference r:id="rId7" w:type="default"/>
          <w:pgSz w:w="11906" w:h="16838"/>
          <w:pgMar w:top="1327" w:right="1412" w:bottom="1327" w:left="1406" w:header="720" w:footer="720" w:gutter="0"/>
          <w:pgNumType w:fmt="decimal" w:start="1"/>
          <w:cols w:space="720" w:num="1"/>
          <w:docGrid w:type="lines" w:linePitch="312" w:charSpace="0"/>
        </w:sectPr>
      </w:pPr>
    </w:p>
    <w:p w14:paraId="1584FDA7">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49" w:name="_Toc21682"/>
      <w:bookmarkStart w:id="150" w:name="_Toc26279"/>
      <w:r>
        <w:rPr>
          <w:rFonts w:hint="eastAsia" w:ascii="宋体" w:hAnsi="宋体" w:eastAsia="宋体" w:cs="宋体"/>
          <w:color w:val="auto"/>
          <w:sz w:val="28"/>
          <w:szCs w:val="28"/>
          <w:lang w:val="en-US" w:eastAsia="zh-CN"/>
        </w:rPr>
        <w:t>附件</w:t>
      </w:r>
      <w:bookmarkEnd w:id="149"/>
      <w:r>
        <w:rPr>
          <w:rFonts w:hint="eastAsia" w:ascii="宋体" w:hAnsi="宋体" w:eastAsia="宋体" w:cs="宋体"/>
          <w:color w:val="auto"/>
          <w:sz w:val="28"/>
          <w:szCs w:val="28"/>
          <w:lang w:val="en-US" w:eastAsia="zh-CN"/>
        </w:rPr>
        <w:t>2：温泉镇突发环境事件应急物资清单</w:t>
      </w:r>
      <w:bookmarkEnd w:id="150"/>
    </w:p>
    <w:p w14:paraId="6E4FAB8F">
      <w:pPr>
        <w:keepNext/>
        <w:keepLines/>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outlineLvl w:val="9"/>
        <w:rPr>
          <w:rFonts w:hint="eastAsia" w:ascii="宋体" w:hAnsi="宋体" w:eastAsia="宋体" w:cs="宋体"/>
          <w:b/>
          <w:bCs/>
          <w:color w:val="auto"/>
          <w:sz w:val="24"/>
          <w:szCs w:val="24"/>
        </w:rPr>
      </w:pPr>
      <w:bookmarkStart w:id="151" w:name="_Toc18193"/>
      <w:r>
        <w:rPr>
          <w:rFonts w:hint="eastAsia" w:ascii="宋体" w:hAnsi="宋体" w:eastAsia="宋体" w:cs="宋体"/>
          <w:b/>
          <w:bCs/>
          <w:color w:val="auto"/>
          <w:sz w:val="24"/>
          <w:szCs w:val="24"/>
          <w:lang w:eastAsia="zh-CN"/>
        </w:rPr>
        <w:t>温泉镇</w:t>
      </w:r>
      <w:r>
        <w:rPr>
          <w:rFonts w:hint="eastAsia" w:ascii="宋体" w:hAnsi="宋体" w:eastAsia="宋体" w:cs="宋体"/>
          <w:b/>
          <w:bCs/>
          <w:color w:val="auto"/>
          <w:sz w:val="24"/>
          <w:szCs w:val="24"/>
        </w:rPr>
        <w:t>突发环境事件应急物资清单</w:t>
      </w:r>
      <w:bookmarkEnd w:id="151"/>
    </w:p>
    <w:tbl>
      <w:tblPr>
        <w:tblStyle w:val="1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1907"/>
        <w:gridCol w:w="740"/>
        <w:gridCol w:w="2085"/>
        <w:gridCol w:w="1330"/>
        <w:gridCol w:w="1858"/>
      </w:tblGrid>
      <w:tr w14:paraId="59EE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3A5EA123">
            <w:pPr>
              <w:pStyle w:val="26"/>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783" w:type="dxa"/>
            <w:noWrap w:val="0"/>
            <w:vAlign w:val="center"/>
          </w:tcPr>
          <w:p w14:paraId="61251FE3">
            <w:pPr>
              <w:pStyle w:val="26"/>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物资名称</w:t>
            </w:r>
          </w:p>
        </w:tc>
        <w:tc>
          <w:tcPr>
            <w:tcW w:w="692" w:type="dxa"/>
            <w:noWrap w:val="0"/>
            <w:vAlign w:val="center"/>
          </w:tcPr>
          <w:p w14:paraId="0D8EECD1">
            <w:pPr>
              <w:pStyle w:val="26"/>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1950" w:type="dxa"/>
            <w:noWrap w:val="0"/>
            <w:vAlign w:val="center"/>
          </w:tcPr>
          <w:p w14:paraId="5DCE28D7">
            <w:pPr>
              <w:pStyle w:val="26"/>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存放地点</w:t>
            </w:r>
          </w:p>
        </w:tc>
        <w:tc>
          <w:tcPr>
            <w:tcW w:w="1244" w:type="dxa"/>
            <w:noWrap w:val="0"/>
            <w:vAlign w:val="center"/>
          </w:tcPr>
          <w:p w14:paraId="0249FC87">
            <w:pPr>
              <w:pStyle w:val="26"/>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联系人</w:t>
            </w:r>
          </w:p>
        </w:tc>
        <w:tc>
          <w:tcPr>
            <w:tcW w:w="1737" w:type="dxa"/>
            <w:noWrap w:val="0"/>
            <w:vAlign w:val="center"/>
          </w:tcPr>
          <w:p w14:paraId="5676C18A">
            <w:pPr>
              <w:pStyle w:val="26"/>
              <w:keepNext w:val="0"/>
              <w:keepLines w:val="0"/>
              <w:pageBreakBefore w:val="0"/>
              <w:widowControl w:val="0"/>
              <w:kinsoku/>
              <w:wordWrap/>
              <w:overflowPunct/>
              <w:topLinePunct w:val="0"/>
              <w:autoSpaceDE/>
              <w:autoSpaceDN/>
              <w:bidi w:val="0"/>
              <w:adjustRightInd w:val="0"/>
              <w:snapToGrid w:val="0"/>
              <w:spacing w:line="240" w:lineRule="atLeast"/>
              <w:ind w:left="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联系电话</w:t>
            </w:r>
          </w:p>
        </w:tc>
      </w:tr>
      <w:tr w14:paraId="6A3F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43B4EA4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783" w:type="dxa"/>
            <w:noWrap w:val="0"/>
            <w:vAlign w:val="center"/>
          </w:tcPr>
          <w:p w14:paraId="5447BE6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单兵帐篷</w:t>
            </w:r>
          </w:p>
        </w:tc>
        <w:tc>
          <w:tcPr>
            <w:tcW w:w="692" w:type="dxa"/>
            <w:noWrap w:val="0"/>
            <w:vAlign w:val="center"/>
          </w:tcPr>
          <w:p w14:paraId="40BAC924">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10顶</w:t>
            </w:r>
          </w:p>
        </w:tc>
        <w:tc>
          <w:tcPr>
            <w:tcW w:w="1950" w:type="dxa"/>
            <w:noWrap w:val="0"/>
            <w:vAlign w:val="center"/>
          </w:tcPr>
          <w:p w14:paraId="61FF24E1">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529B1B9B">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2E89247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463E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1ECC8CE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1783" w:type="dxa"/>
            <w:noWrap w:val="0"/>
            <w:vAlign w:val="center"/>
          </w:tcPr>
          <w:p w14:paraId="0EB4B90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救援交通设备</w:t>
            </w:r>
          </w:p>
        </w:tc>
        <w:tc>
          <w:tcPr>
            <w:tcW w:w="692" w:type="dxa"/>
            <w:noWrap w:val="0"/>
            <w:vAlign w:val="center"/>
          </w:tcPr>
          <w:p w14:paraId="7C9804A3">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3量</w:t>
            </w:r>
          </w:p>
        </w:tc>
        <w:tc>
          <w:tcPr>
            <w:tcW w:w="1950" w:type="dxa"/>
            <w:noWrap w:val="0"/>
            <w:vAlign w:val="center"/>
          </w:tcPr>
          <w:p w14:paraId="011037B9">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07443B0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李春</w:t>
            </w:r>
          </w:p>
        </w:tc>
        <w:tc>
          <w:tcPr>
            <w:tcW w:w="1737" w:type="dxa"/>
            <w:noWrap w:val="0"/>
            <w:vAlign w:val="center"/>
          </w:tcPr>
          <w:p w14:paraId="1E9DBC81">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17830515678</w:t>
            </w:r>
          </w:p>
        </w:tc>
      </w:tr>
      <w:tr w14:paraId="6981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0E70466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783" w:type="dxa"/>
            <w:noWrap w:val="0"/>
            <w:vAlign w:val="center"/>
          </w:tcPr>
          <w:p w14:paraId="73057E1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电筒</w:t>
            </w:r>
          </w:p>
        </w:tc>
        <w:tc>
          <w:tcPr>
            <w:tcW w:w="692" w:type="dxa"/>
            <w:noWrap w:val="0"/>
            <w:vAlign w:val="center"/>
          </w:tcPr>
          <w:p w14:paraId="77B6F64B">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32个</w:t>
            </w:r>
          </w:p>
        </w:tc>
        <w:tc>
          <w:tcPr>
            <w:tcW w:w="1950" w:type="dxa"/>
            <w:noWrap w:val="0"/>
            <w:vAlign w:val="center"/>
          </w:tcPr>
          <w:p w14:paraId="4542856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073B4FE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70BF885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69FB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35D217A9">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783" w:type="dxa"/>
            <w:noWrap w:val="0"/>
            <w:vAlign w:val="center"/>
          </w:tcPr>
          <w:p w14:paraId="4FF0EE9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扩音器</w:t>
            </w:r>
          </w:p>
        </w:tc>
        <w:tc>
          <w:tcPr>
            <w:tcW w:w="692" w:type="dxa"/>
            <w:noWrap w:val="0"/>
            <w:vAlign w:val="center"/>
          </w:tcPr>
          <w:p w14:paraId="4C32933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8个</w:t>
            </w:r>
          </w:p>
        </w:tc>
        <w:tc>
          <w:tcPr>
            <w:tcW w:w="1950" w:type="dxa"/>
            <w:noWrap w:val="0"/>
            <w:vAlign w:val="center"/>
          </w:tcPr>
          <w:p w14:paraId="6884975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1AA34A2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16BA5467">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511F8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09993D5D">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1783" w:type="dxa"/>
            <w:noWrap w:val="0"/>
            <w:vAlign w:val="center"/>
          </w:tcPr>
          <w:p w14:paraId="300485A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安全绳</w:t>
            </w:r>
          </w:p>
        </w:tc>
        <w:tc>
          <w:tcPr>
            <w:tcW w:w="692" w:type="dxa"/>
            <w:noWrap w:val="0"/>
            <w:vAlign w:val="center"/>
          </w:tcPr>
          <w:p w14:paraId="4B3E6E9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9根</w:t>
            </w:r>
          </w:p>
        </w:tc>
        <w:tc>
          <w:tcPr>
            <w:tcW w:w="1950" w:type="dxa"/>
            <w:noWrap w:val="0"/>
            <w:vAlign w:val="center"/>
          </w:tcPr>
          <w:p w14:paraId="42FF4384">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2605641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701365C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4681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2FEA4CF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w:t>
            </w:r>
          </w:p>
        </w:tc>
        <w:tc>
          <w:tcPr>
            <w:tcW w:w="1783" w:type="dxa"/>
            <w:noWrap w:val="0"/>
            <w:vAlign w:val="center"/>
          </w:tcPr>
          <w:p w14:paraId="0003DEB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消防腰带</w:t>
            </w:r>
          </w:p>
        </w:tc>
        <w:tc>
          <w:tcPr>
            <w:tcW w:w="692" w:type="dxa"/>
            <w:noWrap w:val="0"/>
            <w:vAlign w:val="center"/>
          </w:tcPr>
          <w:p w14:paraId="28BD8453">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81根</w:t>
            </w:r>
          </w:p>
        </w:tc>
        <w:tc>
          <w:tcPr>
            <w:tcW w:w="1950" w:type="dxa"/>
            <w:noWrap w:val="0"/>
            <w:vAlign w:val="center"/>
          </w:tcPr>
          <w:p w14:paraId="6E4AD9D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62BD2219">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6A167224">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58FE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17E61EF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w:t>
            </w:r>
          </w:p>
        </w:tc>
        <w:tc>
          <w:tcPr>
            <w:tcW w:w="1783" w:type="dxa"/>
            <w:noWrap w:val="0"/>
            <w:vAlign w:val="center"/>
          </w:tcPr>
          <w:p w14:paraId="37A98BC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消防手套</w:t>
            </w:r>
          </w:p>
        </w:tc>
        <w:tc>
          <w:tcPr>
            <w:tcW w:w="692" w:type="dxa"/>
            <w:noWrap w:val="0"/>
            <w:vAlign w:val="center"/>
          </w:tcPr>
          <w:p w14:paraId="5C77DE0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80双</w:t>
            </w:r>
          </w:p>
        </w:tc>
        <w:tc>
          <w:tcPr>
            <w:tcW w:w="1950" w:type="dxa"/>
            <w:noWrap w:val="0"/>
            <w:vAlign w:val="center"/>
          </w:tcPr>
          <w:p w14:paraId="74AD934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4E23554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2C56000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3553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1C0161E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w:t>
            </w:r>
          </w:p>
        </w:tc>
        <w:tc>
          <w:tcPr>
            <w:tcW w:w="1783" w:type="dxa"/>
            <w:noWrap w:val="0"/>
            <w:vAlign w:val="center"/>
          </w:tcPr>
          <w:p w14:paraId="0194B3A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消防服</w:t>
            </w:r>
          </w:p>
        </w:tc>
        <w:tc>
          <w:tcPr>
            <w:tcW w:w="692" w:type="dxa"/>
            <w:noWrap w:val="0"/>
            <w:vAlign w:val="center"/>
          </w:tcPr>
          <w:p w14:paraId="7DB82444">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26套</w:t>
            </w:r>
          </w:p>
        </w:tc>
        <w:tc>
          <w:tcPr>
            <w:tcW w:w="1950" w:type="dxa"/>
            <w:noWrap w:val="0"/>
            <w:vAlign w:val="center"/>
          </w:tcPr>
          <w:p w14:paraId="3C733431">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5E39677D">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6A2D240B">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0B3E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1C23BE67">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9</w:t>
            </w:r>
          </w:p>
        </w:tc>
        <w:tc>
          <w:tcPr>
            <w:tcW w:w="1783" w:type="dxa"/>
            <w:noWrap w:val="0"/>
            <w:vAlign w:val="center"/>
          </w:tcPr>
          <w:p w14:paraId="2F0E67E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编制袋</w:t>
            </w:r>
          </w:p>
        </w:tc>
        <w:tc>
          <w:tcPr>
            <w:tcW w:w="692" w:type="dxa"/>
            <w:noWrap w:val="0"/>
            <w:vAlign w:val="center"/>
          </w:tcPr>
          <w:p w14:paraId="7924C23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675个</w:t>
            </w:r>
          </w:p>
        </w:tc>
        <w:tc>
          <w:tcPr>
            <w:tcW w:w="1950" w:type="dxa"/>
            <w:noWrap w:val="0"/>
            <w:vAlign w:val="center"/>
          </w:tcPr>
          <w:p w14:paraId="1C39D6C0">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065B3F7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7F6B9A8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2F17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093D46B4">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w:t>
            </w:r>
          </w:p>
        </w:tc>
        <w:tc>
          <w:tcPr>
            <w:tcW w:w="1783" w:type="dxa"/>
            <w:noWrap w:val="0"/>
            <w:vAlign w:val="center"/>
          </w:tcPr>
          <w:p w14:paraId="27C7380C">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消防水鞋</w:t>
            </w:r>
          </w:p>
        </w:tc>
        <w:tc>
          <w:tcPr>
            <w:tcW w:w="692" w:type="dxa"/>
            <w:noWrap w:val="0"/>
            <w:vAlign w:val="center"/>
          </w:tcPr>
          <w:p w14:paraId="3C159B89">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30双</w:t>
            </w:r>
          </w:p>
        </w:tc>
        <w:tc>
          <w:tcPr>
            <w:tcW w:w="1950" w:type="dxa"/>
            <w:noWrap w:val="0"/>
            <w:vAlign w:val="center"/>
          </w:tcPr>
          <w:p w14:paraId="479B488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61E9BEC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647ED5B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3CB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261068B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11</w:t>
            </w:r>
          </w:p>
        </w:tc>
        <w:tc>
          <w:tcPr>
            <w:tcW w:w="1783" w:type="dxa"/>
            <w:noWrap w:val="0"/>
            <w:vAlign w:val="center"/>
          </w:tcPr>
          <w:p w14:paraId="3DB77AF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消防头盔</w:t>
            </w:r>
          </w:p>
        </w:tc>
        <w:tc>
          <w:tcPr>
            <w:tcW w:w="692" w:type="dxa"/>
            <w:noWrap w:val="0"/>
            <w:vAlign w:val="center"/>
          </w:tcPr>
          <w:p w14:paraId="520006B9">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30顶</w:t>
            </w:r>
          </w:p>
        </w:tc>
        <w:tc>
          <w:tcPr>
            <w:tcW w:w="1950" w:type="dxa"/>
            <w:noWrap w:val="0"/>
            <w:vAlign w:val="center"/>
          </w:tcPr>
          <w:p w14:paraId="33CB7CBA">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1A641FC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118997E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3567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4D1E94D0">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12</w:t>
            </w:r>
          </w:p>
        </w:tc>
        <w:tc>
          <w:tcPr>
            <w:tcW w:w="1783" w:type="dxa"/>
            <w:noWrap w:val="0"/>
            <w:vAlign w:val="center"/>
          </w:tcPr>
          <w:p w14:paraId="477AD85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救生圈</w:t>
            </w:r>
          </w:p>
        </w:tc>
        <w:tc>
          <w:tcPr>
            <w:tcW w:w="692" w:type="dxa"/>
            <w:noWrap w:val="0"/>
            <w:vAlign w:val="center"/>
          </w:tcPr>
          <w:p w14:paraId="6FD81F43">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15个</w:t>
            </w:r>
          </w:p>
        </w:tc>
        <w:tc>
          <w:tcPr>
            <w:tcW w:w="1950" w:type="dxa"/>
            <w:noWrap w:val="0"/>
            <w:vAlign w:val="center"/>
          </w:tcPr>
          <w:p w14:paraId="2153BA9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6D11B40D">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0E58149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10BB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385292E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w:t>
            </w:r>
          </w:p>
        </w:tc>
        <w:tc>
          <w:tcPr>
            <w:tcW w:w="1783" w:type="dxa"/>
            <w:noWrap w:val="0"/>
            <w:vAlign w:val="center"/>
          </w:tcPr>
          <w:p w14:paraId="244DA4F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铁锹</w:t>
            </w:r>
          </w:p>
        </w:tc>
        <w:tc>
          <w:tcPr>
            <w:tcW w:w="692" w:type="dxa"/>
            <w:noWrap w:val="0"/>
            <w:vAlign w:val="center"/>
          </w:tcPr>
          <w:p w14:paraId="742479C1">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20把</w:t>
            </w:r>
          </w:p>
        </w:tc>
        <w:tc>
          <w:tcPr>
            <w:tcW w:w="1950" w:type="dxa"/>
            <w:noWrap w:val="0"/>
            <w:vAlign w:val="center"/>
          </w:tcPr>
          <w:p w14:paraId="67FB0B8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6E10BB1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0F2267D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46A4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6" w:type="dxa"/>
            <w:noWrap w:val="0"/>
            <w:vAlign w:val="center"/>
          </w:tcPr>
          <w:p w14:paraId="0EBA273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14</w:t>
            </w:r>
          </w:p>
        </w:tc>
        <w:tc>
          <w:tcPr>
            <w:tcW w:w="1783" w:type="dxa"/>
            <w:noWrap w:val="0"/>
            <w:vAlign w:val="center"/>
          </w:tcPr>
          <w:p w14:paraId="309117AD">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照明头盔</w:t>
            </w:r>
          </w:p>
        </w:tc>
        <w:tc>
          <w:tcPr>
            <w:tcW w:w="692" w:type="dxa"/>
            <w:noWrap w:val="0"/>
            <w:vAlign w:val="center"/>
          </w:tcPr>
          <w:p w14:paraId="250CA0B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63顶</w:t>
            </w:r>
          </w:p>
        </w:tc>
        <w:tc>
          <w:tcPr>
            <w:tcW w:w="1950" w:type="dxa"/>
            <w:noWrap w:val="0"/>
            <w:vAlign w:val="center"/>
          </w:tcPr>
          <w:p w14:paraId="5E23756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1244" w:type="dxa"/>
            <w:noWrap w:val="0"/>
            <w:vAlign w:val="center"/>
          </w:tcPr>
          <w:p w14:paraId="3F6954C0">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1737" w:type="dxa"/>
            <w:noWrap w:val="0"/>
            <w:vAlign w:val="center"/>
          </w:tcPr>
          <w:p w14:paraId="494AE11D">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57C8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noWrap w:val="0"/>
            <w:vAlign w:val="center"/>
          </w:tcPr>
          <w:p w14:paraId="54E840B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w:t>
            </w:r>
          </w:p>
        </w:tc>
        <w:tc>
          <w:tcPr>
            <w:tcW w:w="0" w:type="auto"/>
            <w:noWrap w:val="0"/>
            <w:vAlign w:val="center"/>
          </w:tcPr>
          <w:p w14:paraId="14E18A5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皮筏艇</w:t>
            </w:r>
          </w:p>
        </w:tc>
        <w:tc>
          <w:tcPr>
            <w:tcW w:w="0" w:type="auto"/>
            <w:noWrap w:val="0"/>
            <w:vAlign w:val="center"/>
          </w:tcPr>
          <w:p w14:paraId="506D5972">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2个</w:t>
            </w:r>
          </w:p>
        </w:tc>
        <w:tc>
          <w:tcPr>
            <w:tcW w:w="0" w:type="auto"/>
            <w:noWrap w:val="0"/>
            <w:vAlign w:val="center"/>
          </w:tcPr>
          <w:p w14:paraId="3E783BDB">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0" w:type="auto"/>
            <w:noWrap w:val="0"/>
            <w:vAlign w:val="center"/>
          </w:tcPr>
          <w:p w14:paraId="2E84D270">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0" w:type="auto"/>
            <w:noWrap w:val="0"/>
            <w:vAlign w:val="center"/>
          </w:tcPr>
          <w:p w14:paraId="7637D8D0">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67E2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noWrap w:val="0"/>
            <w:vAlign w:val="center"/>
          </w:tcPr>
          <w:p w14:paraId="15A0949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16</w:t>
            </w:r>
          </w:p>
        </w:tc>
        <w:tc>
          <w:tcPr>
            <w:tcW w:w="0" w:type="auto"/>
            <w:noWrap w:val="0"/>
            <w:vAlign w:val="center"/>
          </w:tcPr>
          <w:p w14:paraId="5E1E1FCD">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对讲机</w:t>
            </w:r>
          </w:p>
        </w:tc>
        <w:tc>
          <w:tcPr>
            <w:tcW w:w="0" w:type="auto"/>
            <w:noWrap w:val="0"/>
            <w:vAlign w:val="center"/>
          </w:tcPr>
          <w:p w14:paraId="2FF6226C">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15个</w:t>
            </w:r>
          </w:p>
        </w:tc>
        <w:tc>
          <w:tcPr>
            <w:tcW w:w="0" w:type="auto"/>
            <w:noWrap w:val="0"/>
            <w:vAlign w:val="center"/>
          </w:tcPr>
          <w:p w14:paraId="3528BDB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0" w:type="auto"/>
            <w:noWrap w:val="0"/>
            <w:vAlign w:val="center"/>
          </w:tcPr>
          <w:p w14:paraId="139A2CCF">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0" w:type="auto"/>
            <w:noWrap w:val="0"/>
            <w:vAlign w:val="center"/>
          </w:tcPr>
          <w:p w14:paraId="1BB9C118">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5DE6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noWrap w:val="0"/>
            <w:vAlign w:val="center"/>
          </w:tcPr>
          <w:p w14:paraId="4632E449">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17</w:t>
            </w:r>
          </w:p>
        </w:tc>
        <w:tc>
          <w:tcPr>
            <w:tcW w:w="0" w:type="auto"/>
            <w:noWrap w:val="0"/>
            <w:vAlign w:val="center"/>
          </w:tcPr>
          <w:p w14:paraId="7A78EF67">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雨衣</w:t>
            </w:r>
          </w:p>
        </w:tc>
        <w:tc>
          <w:tcPr>
            <w:tcW w:w="0" w:type="auto"/>
            <w:noWrap w:val="0"/>
            <w:vAlign w:val="center"/>
          </w:tcPr>
          <w:p w14:paraId="758C7F0B">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29件</w:t>
            </w:r>
          </w:p>
        </w:tc>
        <w:tc>
          <w:tcPr>
            <w:tcW w:w="0" w:type="auto"/>
            <w:noWrap w:val="0"/>
            <w:vAlign w:val="center"/>
          </w:tcPr>
          <w:p w14:paraId="6A1C7FFE">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0" w:type="auto"/>
            <w:noWrap w:val="0"/>
            <w:vAlign w:val="center"/>
          </w:tcPr>
          <w:p w14:paraId="2F79F103">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0" w:type="auto"/>
            <w:noWrap w:val="0"/>
            <w:vAlign w:val="center"/>
          </w:tcPr>
          <w:p w14:paraId="1535B0E1">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r w14:paraId="0D40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noWrap w:val="0"/>
            <w:vAlign w:val="center"/>
          </w:tcPr>
          <w:p w14:paraId="7647CC25">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18</w:t>
            </w:r>
          </w:p>
        </w:tc>
        <w:tc>
          <w:tcPr>
            <w:tcW w:w="0" w:type="auto"/>
            <w:noWrap w:val="0"/>
            <w:vAlign w:val="center"/>
          </w:tcPr>
          <w:p w14:paraId="6DAC135D">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橡胶棍</w:t>
            </w:r>
          </w:p>
        </w:tc>
        <w:tc>
          <w:tcPr>
            <w:tcW w:w="0" w:type="auto"/>
            <w:noWrap w:val="0"/>
            <w:vAlign w:val="center"/>
          </w:tcPr>
          <w:p w14:paraId="29B476A4">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57根</w:t>
            </w:r>
          </w:p>
        </w:tc>
        <w:tc>
          <w:tcPr>
            <w:tcW w:w="0" w:type="auto"/>
            <w:noWrap w:val="0"/>
            <w:vAlign w:val="center"/>
          </w:tcPr>
          <w:p w14:paraId="3D44B8A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应急物资储备仓库</w:t>
            </w:r>
          </w:p>
        </w:tc>
        <w:tc>
          <w:tcPr>
            <w:tcW w:w="0" w:type="auto"/>
            <w:noWrap w:val="0"/>
            <w:vAlign w:val="center"/>
          </w:tcPr>
          <w:p w14:paraId="52A87846">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彭国梁</w:t>
            </w:r>
          </w:p>
        </w:tc>
        <w:tc>
          <w:tcPr>
            <w:tcW w:w="0" w:type="auto"/>
            <w:noWrap w:val="0"/>
            <w:vAlign w:val="center"/>
          </w:tcPr>
          <w:p w14:paraId="0FCA732B">
            <w:pPr>
              <w:pStyle w:val="26"/>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13635377779</w:t>
            </w:r>
          </w:p>
        </w:tc>
      </w:tr>
    </w:tbl>
    <w:p w14:paraId="54DB2C88">
      <w:pPr>
        <w:rPr>
          <w:rFonts w:hint="eastAsia" w:ascii="宋体" w:hAnsi="宋体" w:eastAsia="宋体" w:cs="宋体"/>
          <w:color w:val="FF0000"/>
          <w:sz w:val="24"/>
          <w:szCs w:val="24"/>
        </w:rPr>
      </w:pPr>
    </w:p>
    <w:p w14:paraId="3D52C4B7">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default" w:ascii="宋体" w:hAnsi="宋体" w:eastAsia="宋体" w:cs="宋体"/>
          <w:color w:val="auto"/>
          <w:sz w:val="21"/>
          <w:szCs w:val="21"/>
          <w:lang w:val="en-US" w:eastAsia="zh-CN"/>
        </w:rPr>
      </w:pPr>
      <w:r>
        <w:rPr>
          <w:rFonts w:hint="eastAsia" w:ascii="宋体" w:hAnsi="宋体" w:eastAsia="宋体" w:cs="宋体"/>
          <w:color w:val="FF0000"/>
          <w:sz w:val="21"/>
          <w:szCs w:val="21"/>
        </w:rPr>
        <w:br w:type="page"/>
      </w:r>
      <w:bookmarkStart w:id="152" w:name="_Toc11918"/>
      <w:bookmarkStart w:id="153" w:name="_Toc1573"/>
      <w:r>
        <w:rPr>
          <w:rFonts w:hint="eastAsia" w:ascii="宋体" w:hAnsi="宋体" w:eastAsia="宋体" w:cs="宋体"/>
          <w:color w:val="auto"/>
          <w:sz w:val="28"/>
          <w:szCs w:val="28"/>
          <w:lang w:val="en-US" w:eastAsia="zh-CN"/>
        </w:rPr>
        <w:t>附件3：开州区应急物资储备情况</w:t>
      </w:r>
      <w:bookmarkEnd w:id="152"/>
      <w:bookmarkEnd w:id="153"/>
    </w:p>
    <w:p w14:paraId="2E0CF60D">
      <w:pPr>
        <w:spacing w:line="360" w:lineRule="auto"/>
        <w:jc w:val="center"/>
        <w:rPr>
          <w:rFonts w:hint="eastAsia"/>
          <w:color w:val="auto"/>
          <w:sz w:val="24"/>
        </w:rPr>
      </w:pPr>
      <w:r>
        <w:rPr>
          <w:b/>
          <w:color w:val="auto"/>
          <w:sz w:val="24"/>
        </w:rPr>
        <w:t xml:space="preserve">  </w:t>
      </w:r>
      <w:r>
        <w:rPr>
          <w:rFonts w:hint="eastAsia" w:hAnsi="宋体"/>
          <w:b/>
          <w:color w:val="auto"/>
          <w:sz w:val="24"/>
        </w:rPr>
        <w:t>开州区生态环境局应急物资储备情况</w:t>
      </w:r>
    </w:p>
    <w:tbl>
      <w:tblPr>
        <w:tblStyle w:val="14"/>
        <w:tblW w:w="0" w:type="auto"/>
        <w:tblInd w:w="0" w:type="dxa"/>
        <w:tblLayout w:type="fixed"/>
        <w:tblCellMar>
          <w:top w:w="0" w:type="dxa"/>
          <w:left w:w="0" w:type="dxa"/>
          <w:bottom w:w="0" w:type="dxa"/>
          <w:right w:w="0" w:type="dxa"/>
        </w:tblCellMar>
      </w:tblPr>
      <w:tblGrid>
        <w:gridCol w:w="339"/>
        <w:gridCol w:w="1599"/>
        <w:gridCol w:w="1519"/>
        <w:gridCol w:w="1223"/>
        <w:gridCol w:w="503"/>
        <w:gridCol w:w="478"/>
        <w:gridCol w:w="886"/>
        <w:gridCol w:w="853"/>
        <w:gridCol w:w="930"/>
      </w:tblGrid>
      <w:tr w14:paraId="4910CD3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539A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序号</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E127E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产品名称</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9EFA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物资类别</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E4EA2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规格型号</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FCC7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数量</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1FA6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单位</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9B12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存放地点</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7A5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使用状况</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A7BD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管理部门</w:t>
            </w:r>
          </w:p>
        </w:tc>
      </w:tr>
      <w:tr w14:paraId="7856664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1F8D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BA0A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GPS定位仪</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E35C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7F95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G120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F287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E85C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642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CFE3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18E8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419FCE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496F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2F78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激光测距望远镜</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E8AC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D65D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1400A</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D421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9258D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D560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D505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4FBD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31663C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317B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12C2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对讲机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3DB6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2672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GP328</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4F1C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0233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对</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8171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643A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C2E2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69D9CB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2F7A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49F0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应急录音设备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A85D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C7FC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5505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66D7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E80B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DA38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6C55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5914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663168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5601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6378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应急现场工作服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4A84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359F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RD96-T</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B09C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4097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0700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5C4A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173A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0D5E60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3243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90E6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液体化学防护服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C15E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62C0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FH-2NP</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4038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9AE9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DF08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CF2A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5999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7E83AD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2E76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9A95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气体化学防护服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3DCF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5A65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FH-3NP</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C688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19FB8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690F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915D0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7E69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AD9102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CFA4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45C4B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易燃易爆气体报警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53C7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B052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SLT-606</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D0C9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DC21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0C9C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298FD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FBE9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0FA1BF4">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3B97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5347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有毒有害气体报警装置</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E0F3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507B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SLT-900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73D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83435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0D62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97E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95A0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DA4AE3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58F1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6722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辐射报警装置</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B41C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应急监测设备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1215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SLT-900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E6C3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3D4A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2AEB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11A6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0C26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C1A9BE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F91E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2C9D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医用急救箱</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DFE4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B954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18村铝合金</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9A05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7D0B7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65E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145E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E069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014FC7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A394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F42D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应急供电、照明设备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BFF6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2067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MT1000S</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F987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0691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6974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2A62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0244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0594BD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DA5F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4DC3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睡袋</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6BEC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23B4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CM-040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91C0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09C5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505F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34E5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2085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077877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1A739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DE06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帐篷</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322A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0367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CS070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B9C3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6698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6750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5CEA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8830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105D99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7031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C3A9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执法记录仪</w:t>
            </w:r>
          </w:p>
        </w:tc>
        <w:tc>
          <w:tcPr>
            <w:tcW w:w="151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8E998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16E310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DSJ-A3</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8B81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0EB1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9B2B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BF8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164B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732BB43D">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3BDB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16</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46512A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台式电脑</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C347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17C72">
            <w:pPr>
              <w:jc w:val="center"/>
              <w:rPr>
                <w:rFonts w:hint="eastAsia" w:ascii="宋体" w:hAnsi="宋体" w:cs="宋体"/>
                <w:color w:val="auto"/>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E28FF7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A6F5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47CB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47A5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ACA8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6B59C65">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DD55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17</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DFCA7E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应急车辆及辅助设备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6352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3FF7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本田</w:t>
            </w: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0506D6C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F113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辆</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82C2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E95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46E6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2FAE41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BB0B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18</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10D8F5C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固定电话</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F3C6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3B9666">
            <w:pPr>
              <w:jc w:val="center"/>
              <w:rPr>
                <w:rFonts w:hint="eastAsia" w:ascii="宋体" w:hAnsi="宋体" w:cs="宋体"/>
                <w:color w:val="auto"/>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68B8961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CD2F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部</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E465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1230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6D46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627A4F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4971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19</w:t>
            </w:r>
          </w:p>
        </w:tc>
        <w:tc>
          <w:tcPr>
            <w:tcW w:w="1599"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084BAC4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打印机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7A26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0186A">
            <w:pPr>
              <w:jc w:val="center"/>
              <w:rPr>
                <w:rFonts w:hint="eastAsia" w:ascii="宋体" w:hAnsi="宋体" w:cs="宋体"/>
                <w:color w:val="auto"/>
                <w:sz w:val="18"/>
                <w:szCs w:val="18"/>
              </w:rPr>
            </w:pPr>
          </w:p>
        </w:tc>
        <w:tc>
          <w:tcPr>
            <w:tcW w:w="50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0185CB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9BC2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EB24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9738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B60B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645ACC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5A6F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ED4F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传真机</w:t>
            </w:r>
          </w:p>
        </w:tc>
        <w:tc>
          <w:tcPr>
            <w:tcW w:w="1519"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4CF176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D641481">
            <w:pPr>
              <w:jc w:val="center"/>
              <w:rPr>
                <w:rFonts w:hint="eastAsia" w:ascii="宋体" w:hAnsi="宋体" w:cs="宋体"/>
                <w:color w:val="auto"/>
                <w:sz w:val="18"/>
                <w:szCs w:val="18"/>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83058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C618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F9C4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1C4F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3E8E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DA81E3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FAE3FF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21</w:t>
            </w:r>
          </w:p>
        </w:tc>
        <w:tc>
          <w:tcPr>
            <w:tcW w:w="159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5B1138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摄像机</w:t>
            </w:r>
          </w:p>
        </w:tc>
        <w:tc>
          <w:tcPr>
            <w:tcW w:w="151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29BF1C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FBB3A5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佳能</w:t>
            </w:r>
          </w:p>
        </w:tc>
        <w:tc>
          <w:tcPr>
            <w:tcW w:w="5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ABA78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DBD79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BC16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C45D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CB0C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27E685C">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ED73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07BE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防爆摄像机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5022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5935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Exdv1301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AF86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2DB6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03F1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B594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ED6E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B2528AA">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DC8D02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26C9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防爆照相机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F664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21DF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Excam1201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BD16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1B2C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4AB4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5AB4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052F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5702F6C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85A8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DA74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防爆对讲机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3717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D429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PT7200 Ex</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1847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CB50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BC4D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27D4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7240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B5ACD5E">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8A739F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6CB0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移动便携式打印机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3C38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其他</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C31A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Officejet 150 mobile</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B275D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435C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DC6A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EA08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B6A1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D661B3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629D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19BF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便携式柴油发电机</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8E5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DBAD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KDF4000XE</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CADF5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3385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8CCE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C2E3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50E81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78AF09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9E8B21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067F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防爆抽油泵</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8D3A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93C4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50CYZ-60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0E8A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CD8C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0365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C9B1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676A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EDAB19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B2DC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7A1A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水泵</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564E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96D7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50WQ20-33-5.5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8CB9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EDA3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台</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5E97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D860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B179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1A003EBC">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D6D6F1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6682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吸油毡</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D70A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12B5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PP-1/PP-2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D97A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0B3A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6838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1A4D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8A7C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7D3CCAD1">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F2DB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0D5B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吸油棉</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D62B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D0C5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OP002-B</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745A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120A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6599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C482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5308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0C96115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F2B316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1780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黄色吸油吸液棉</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0379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26EF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HOP004</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BC74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535D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94C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D660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CBE3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F94407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0586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BD8D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吸油卷</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DB06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FFEF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OR004</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7429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926D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卷</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95FC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5798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4444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A05929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5B7648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33</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6177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吸油索</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0318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0474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OS20*3</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DCE9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372C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EA9E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9EE7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82DB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4910B218">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4414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F4B0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吸油片</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A9EA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A81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OP002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1CB5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D322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025C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78C3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D93A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D40E12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45E296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262D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PVC围油栏</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05C9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堵漏、收集器材/设备</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E82C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PVC1500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000F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F547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节</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8F53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6D82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1F60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643F570">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554A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1977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消防水龙带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B854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消防设施</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4AC5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13-100-25</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BFC5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8464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节</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D4F61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53EE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F43E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8C41A1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12A731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E282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抽油管</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CDB27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消防设施</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61BF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PVC</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95C1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E559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件</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B2B0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F502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3DC5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7D65DAF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9C21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38</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C84E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防护手套</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D9E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6E88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辉安工业手套</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7D14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8E38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箱</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129C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1975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E78D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81F7863">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E00B1B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39</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DA69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耐高温手套</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2933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E05B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LC-S59</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4D25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2FB6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双</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8C99B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1F4A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9E53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493880B">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519B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40</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F946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消油剂</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7152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226A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700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44E1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2</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0A51D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桶</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694A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49C4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2EAA8">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27169D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C82FC5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41</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3205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化学品</w:t>
            </w:r>
            <w:r>
              <w:rPr>
                <w:rFonts w:hint="eastAsia" w:ascii="宋体" w:hAnsi="宋体" w:cs="宋体"/>
                <w:color w:val="auto"/>
                <w:kern w:val="0"/>
                <w:sz w:val="18"/>
                <w:szCs w:val="18"/>
                <w:lang w:eastAsia="zh-CN" w:bidi="ar"/>
              </w:rPr>
              <w:t>泄漏</w:t>
            </w:r>
            <w:r>
              <w:rPr>
                <w:rFonts w:hint="eastAsia" w:ascii="宋体" w:hAnsi="宋体" w:cs="宋体"/>
                <w:color w:val="auto"/>
                <w:kern w:val="0"/>
                <w:sz w:val="18"/>
                <w:szCs w:val="18"/>
                <w:lang w:bidi="ar"/>
              </w:rPr>
              <w:t>应急包</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73D1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AE7B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YJB-001</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6E20E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D654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包</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932F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5F8F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271C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50C648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B743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42</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EC53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编织袋</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4824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0B8F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90X130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6749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100</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8283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2E70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3A90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6FEC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38812C56">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1F2E44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43</w:t>
            </w:r>
          </w:p>
        </w:tc>
        <w:tc>
          <w:tcPr>
            <w:tcW w:w="159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0E6261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铁锹</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C4EA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F5F7F4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1626</w:t>
            </w:r>
          </w:p>
        </w:tc>
        <w:tc>
          <w:tcPr>
            <w:tcW w:w="5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295EE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189390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AA98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3889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8863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7EA9F452">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A5C2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44</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794E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十字铁镐</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5F5B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D703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G102</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01BF">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83E1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75F2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43FC5">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B6F1C">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2B3504C7">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3B541">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45</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E478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撬棍</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F36E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应急救援物资</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F970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1200X20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AE7F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D23F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C4A0A">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E496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0198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775A1AD9">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6156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46</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E14D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安全带</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93219">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741B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YH-7009</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804E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39A0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把</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E8E44">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5D0F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1A59E">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r w14:paraId="6B166F0D">
        <w:tblPrEx>
          <w:tblCellMar>
            <w:top w:w="0" w:type="dxa"/>
            <w:left w:w="0" w:type="dxa"/>
            <w:bottom w:w="0" w:type="dxa"/>
            <w:right w:w="0" w:type="dxa"/>
          </w:tblCellMar>
        </w:tblPrEx>
        <w:trPr>
          <w:trHeight w:val="500" w:hRule="atLeast"/>
        </w:trPr>
        <w:tc>
          <w:tcPr>
            <w:tcW w:w="3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7FEA2">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47</w:t>
            </w:r>
          </w:p>
        </w:tc>
        <w:tc>
          <w:tcPr>
            <w:tcW w:w="15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5A454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防毒面罩</w:t>
            </w:r>
          </w:p>
        </w:tc>
        <w:tc>
          <w:tcPr>
            <w:tcW w:w="15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8E50B">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个人防护设备器材</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00C57">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6200</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6F7A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5</w:t>
            </w:r>
          </w:p>
        </w:tc>
        <w:tc>
          <w:tcPr>
            <w:tcW w:w="4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DDF60">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套</w:t>
            </w:r>
          </w:p>
        </w:tc>
        <w:tc>
          <w:tcPr>
            <w:tcW w:w="8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10A6D">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应急设备室</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EC5B3">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正常使用</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C1406">
            <w:pPr>
              <w:widowControl/>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区应急管理中心</w:t>
            </w:r>
          </w:p>
        </w:tc>
      </w:tr>
    </w:tbl>
    <w:p w14:paraId="4301E0CD">
      <w:pPr>
        <w:pStyle w:val="11"/>
        <w:ind w:firstLine="482"/>
        <w:rPr>
          <w:color w:val="auto"/>
          <w:sz w:val="24"/>
          <w:szCs w:val="24"/>
        </w:rPr>
        <w:sectPr>
          <w:pgSz w:w="11906" w:h="16838"/>
          <w:pgMar w:top="1440" w:right="1803" w:bottom="1440" w:left="1803" w:header="851" w:footer="992" w:gutter="0"/>
          <w:pgNumType w:fmt="decimal"/>
          <w:cols w:space="720" w:num="1"/>
          <w:docGrid w:type="lines" w:linePitch="312" w:charSpace="0"/>
        </w:sectPr>
      </w:pPr>
    </w:p>
    <w:p w14:paraId="7A0F162B">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54" w:name="_Toc97730647"/>
      <w:bookmarkStart w:id="155" w:name="_Toc5725"/>
      <w:bookmarkStart w:id="156" w:name="_Toc5208"/>
      <w:bookmarkStart w:id="157" w:name="_Toc32125"/>
      <w:bookmarkStart w:id="158" w:name="_Toc30059"/>
      <w:r>
        <w:rPr>
          <w:rFonts w:hint="eastAsia" w:ascii="宋体" w:hAnsi="宋体" w:eastAsia="宋体" w:cs="宋体"/>
          <w:color w:val="auto"/>
          <w:sz w:val="28"/>
          <w:szCs w:val="28"/>
          <w:lang w:val="en-US" w:eastAsia="zh-CN"/>
        </w:rPr>
        <w:t>附图1  开州区行政区划图</w:t>
      </w:r>
      <w:bookmarkEnd w:id="154"/>
      <w:bookmarkEnd w:id="155"/>
      <w:bookmarkEnd w:id="156"/>
      <w:bookmarkEnd w:id="157"/>
    </w:p>
    <w:p w14:paraId="4FBFEBAF">
      <w:pPr>
        <w:rPr>
          <w:rFonts w:hint="eastAsia"/>
          <w:color w:val="auto"/>
        </w:rPr>
        <w:sectPr>
          <w:footerReference r:id="rId8" w:type="default"/>
          <w:pgSz w:w="11906" w:h="16838"/>
          <w:pgMar w:top="1440" w:right="1133" w:bottom="1440" w:left="1803" w:header="851" w:footer="992" w:gutter="0"/>
          <w:cols w:space="720" w:num="1"/>
          <w:docGrid w:type="lines" w:linePitch="312" w:charSpace="0"/>
        </w:sectPr>
      </w:pPr>
      <w:r>
        <w:rPr>
          <w:color w:val="auto"/>
        </w:rPr>
        <mc:AlternateContent>
          <mc:Choice Requires="wps">
            <w:drawing>
              <wp:anchor distT="0" distB="0" distL="114300" distR="114300" simplePos="0" relativeHeight="251669504" behindDoc="0" locked="0" layoutInCell="1" allowOverlap="1">
                <wp:simplePos x="0" y="0"/>
                <wp:positionH relativeFrom="column">
                  <wp:posOffset>3048000</wp:posOffset>
                </wp:positionH>
                <wp:positionV relativeFrom="paragraph">
                  <wp:posOffset>2415540</wp:posOffset>
                </wp:positionV>
                <wp:extent cx="216535" cy="206375"/>
                <wp:effectExtent l="24130" t="26035" r="26035" b="34290"/>
                <wp:wrapNone/>
                <wp:docPr id="17" name="五角星 17"/>
                <wp:cNvGraphicFramePr/>
                <a:graphic xmlns:a="http://schemas.openxmlformats.org/drawingml/2006/main">
                  <a:graphicData uri="http://schemas.microsoft.com/office/word/2010/wordprocessingShape">
                    <wps:wsp>
                      <wps:cNvSpPr/>
                      <wps:spPr>
                        <a:xfrm>
                          <a:off x="0" y="0"/>
                          <a:ext cx="216535" cy="206375"/>
                        </a:xfrm>
                        <a:prstGeom prst="star5">
                          <a:avLst/>
                        </a:prstGeom>
                        <a:solidFill>
                          <a:srgbClr val="FF0000"/>
                        </a:solidFill>
                        <a:ln w="15875" cap="flat" cmpd="sng">
                          <a:solidFill>
                            <a:srgbClr val="FF0000"/>
                          </a:solidFill>
                          <a:prstDash val="solid"/>
                          <a:miter/>
                          <a:headEnd type="none" w="med" len="med"/>
                          <a:tailEnd type="none" w="med" len="med"/>
                        </a:ln>
                      </wps:spPr>
                      <wps:txbx>
                        <w:txbxContent>
                          <w:p w14:paraId="7E85867A"/>
                        </w:txbxContent>
                      </wps:txbx>
                      <wps:bodyPr upright="1"/>
                    </wps:wsp>
                  </a:graphicData>
                </a:graphic>
              </wp:anchor>
            </w:drawing>
          </mc:Choice>
          <mc:Fallback>
            <w:pict>
              <v:shape id="_x0000_s1026" o:spid="_x0000_s1026" style="position:absolute;left:0pt;margin-left:240pt;margin-top:190.2pt;height:16.25pt;width:17.05pt;z-index:251669504;mso-width-relative:page;mso-height-relative:page;" fillcolor="#FF0000" filled="t" stroked="t" coordsize="216535,206375" o:gfxdata="UEsDBAoAAAAAAIdO4kAAAAAAAAAAAAAAAAAEAAAAZHJzL1BLAwQUAAAACACHTuJAwkqFQtsAAAAL&#10;AQAADwAAAGRycy9kb3ducmV2LnhtbE2PwU7DMBBE70j8g7VI3KidJkVpiNMDKkIIpKoBqVcnXuKI&#10;2A6xmxa+nuUEx9GMZt6Um7Md2IxT6L2TkCwEMHSt173rJLy9PtzkwEJUTqvBO5TwhQE21eVFqQrt&#10;T26Pcx07RiUuFEqCiXEsOA+tQavCwo/oyHv3k1WR5NRxPakTlduBL4W45Vb1jhaMGvHeYPtRH60E&#10;/5nal6etqJv9qv2ezeHxebdNpby+SsQdsIjn+BeGX3xCh4qYGn90OrBBQpYL+hIlpLnIgFFilWQJ&#10;sIasZLkGXpX8/4fqB1BLAwQUAAAACACHTuJAHEkFzAcCAAAvBAAADgAAAGRycy9lMm9Eb2MueG1s&#10;rVPNjtMwEL4j8Q6W7zRpV+2uoqZ7oJQLgpUWHmBqO4kl/8l2m/Q1EAduHHkHngchHmPHTuiyy6UH&#10;cnBm7PE3830zXt8OWpGj8EFaU9P5rKREGGa5NG1NP33cvbqhJEQwHJQ1oqYnEejt5uWLde8qsbCd&#10;VVx4giAmVL2raRejq4oisE5oCDPrhMHDxnoNEV3fFtxDj+haFYuyXBW99dx5y0QIuLsdD+mE6C8B&#10;tE0jmdhadtDCxBHVCwURKYVOukA3udqmESx+aJogIlE1RaYxr5gE7X1ai80aqtaD6ySbSoBLSnjG&#10;SYM0mPQMtYUI5ODlP1BaMm+DbeKMWV2MRLIiyGJePtPmvgMnMheUOriz6OH/wbL3xztPJMdJuKbE&#10;gMaO//zx5ff3z7++fiO4hwL1LlQYd+/u/OQFNBPbofE6/ZEHGbKop7OoYoiE4eZivlpeLSlheLQo&#10;V1fXy4RZPF52PsS3wmqSjJri7Pll1hKO70IcY//EpGTBKsl3Uqns+Hb/WnlyBGzwblfiN8E/CVOG&#10;9EhxeYPZCQMc2wbHBU3tkHowbU745Eq4DDlVtoXQjRVkhFQAVFpGkfSCqhPA3xhO4smhugZfFU3V&#10;aMEpUQIfYbJyZASpLolE9ZRBEVNnxl4kKw77AWGSubf8hH09OC/bDkWdZ1HSCc5RVn+a+TSof/sZ&#10;9PGdbx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kqFQtsAAAALAQAADwAAAAAAAAABACAAAAAi&#10;AAAAZHJzL2Rvd25yZXYueG1sUEsBAhQAFAAAAAgAh07iQBxJBcwHAgAALwQAAA4AAAAAAAAAAQAg&#10;AAAAKgEAAGRycy9lMm9Eb2MueG1sUEsFBgAAAAAGAAYAWQEAAKMFAAAAAA==&#10;" path="m0,78828l82709,78828,108267,0,133825,78828,216534,78828,149621,127546,175180,206374,108267,157655,41354,206374,66913,127546xe">
                <v:path textboxrect="0,0,216535,206375" o:connectlocs="108267,0;0,78828;41354,206374;175180,206374;216534,78828" o:connectangles="247,164,82,82,0"/>
                <v:fill on="t" focussize="0,0"/>
                <v:stroke weight="1.25pt" color="#FF0000" joinstyle="miter"/>
                <v:imagedata o:title=""/>
                <o:lock v:ext="edit" aspectratio="f"/>
                <v:textbox>
                  <w:txbxContent>
                    <w:p w14:paraId="7E85867A"/>
                  </w:txbxContent>
                </v:textbox>
              </v:shape>
            </w:pict>
          </mc:Fallback>
        </mc:AlternateContent>
      </w:r>
      <w:r>
        <w:rPr>
          <w:rFonts w:hint="eastAsia"/>
          <w:color w:val="auto"/>
        </w:rPr>
        <w:drawing>
          <wp:inline distT="0" distB="0" distL="114300" distR="114300">
            <wp:extent cx="5256530" cy="6506210"/>
            <wp:effectExtent l="0" t="0" r="1270" b="8890"/>
            <wp:docPr id="13" name="图片 1" descr="201912220838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2019122208385770"/>
                    <pic:cNvPicPr>
                      <a:picLocks noChangeAspect="1"/>
                    </pic:cNvPicPr>
                  </pic:nvPicPr>
                  <pic:blipFill>
                    <a:blip r:embed="rId17"/>
                    <a:stretch>
                      <a:fillRect/>
                    </a:stretch>
                  </pic:blipFill>
                  <pic:spPr>
                    <a:xfrm>
                      <a:off x="0" y="0"/>
                      <a:ext cx="5256530" cy="6506210"/>
                    </a:xfrm>
                    <a:prstGeom prst="rect">
                      <a:avLst/>
                    </a:prstGeom>
                    <a:noFill/>
                    <a:ln>
                      <a:noFill/>
                    </a:ln>
                  </pic:spPr>
                </pic:pic>
              </a:graphicData>
            </a:graphic>
          </wp:inline>
        </w:drawing>
      </w:r>
      <w:bookmarkEnd w:id="158"/>
    </w:p>
    <w:p w14:paraId="101E5585">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59" w:name="_Toc30122"/>
      <w:bookmarkStart w:id="160" w:name="_Toc7337"/>
      <w:bookmarkStart w:id="161" w:name="_Toc97730648"/>
      <w:bookmarkStart w:id="162" w:name="_Toc24362"/>
      <w:bookmarkStart w:id="163" w:name="_Toc6122"/>
      <w:r>
        <w:rPr>
          <w:rFonts w:hint="eastAsia" w:ascii="宋体" w:hAnsi="宋体" w:eastAsia="宋体" w:cs="宋体"/>
          <w:color w:val="auto"/>
          <w:sz w:val="28"/>
          <w:szCs w:val="28"/>
          <w:lang w:val="en-US" w:eastAsia="zh-CN"/>
        </w:rPr>
        <w:t>附图2  开州区水系图</w:t>
      </w:r>
      <w:bookmarkEnd w:id="159"/>
      <w:bookmarkEnd w:id="160"/>
      <w:bookmarkEnd w:id="161"/>
      <w:bookmarkEnd w:id="162"/>
    </w:p>
    <w:p w14:paraId="773F5B61">
      <w:pPr>
        <w:rPr>
          <w:rFonts w:hint="eastAsia"/>
          <w:color w:val="auto"/>
        </w:rPr>
        <w:sectPr>
          <w:pgSz w:w="11906" w:h="16838"/>
          <w:pgMar w:top="1440" w:right="1803" w:bottom="1440" w:left="1803" w:header="851" w:footer="992" w:gutter="0"/>
          <w:cols w:space="720" w:num="1"/>
          <w:docGrid w:type="lines" w:linePitch="312" w:charSpace="0"/>
        </w:sectPr>
      </w:pPr>
      <w:r>
        <w:rPr>
          <w:rFonts w:hint="eastAsia"/>
          <w:color w:val="auto"/>
        </w:rPr>
        <w:drawing>
          <wp:inline distT="0" distB="0" distL="114300" distR="114300">
            <wp:extent cx="5256530" cy="6506210"/>
            <wp:effectExtent l="0" t="0" r="1270" b="8890"/>
            <wp:docPr id="14" name="图片 2" descr="201912220839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2019122208393394"/>
                    <pic:cNvPicPr>
                      <a:picLocks noChangeAspect="1"/>
                    </pic:cNvPicPr>
                  </pic:nvPicPr>
                  <pic:blipFill>
                    <a:blip r:embed="rId18"/>
                    <a:stretch>
                      <a:fillRect/>
                    </a:stretch>
                  </pic:blipFill>
                  <pic:spPr>
                    <a:xfrm>
                      <a:off x="0" y="0"/>
                      <a:ext cx="5256530" cy="6506210"/>
                    </a:xfrm>
                    <a:prstGeom prst="rect">
                      <a:avLst/>
                    </a:prstGeom>
                    <a:noFill/>
                    <a:ln>
                      <a:noFill/>
                    </a:ln>
                  </pic:spPr>
                </pic:pic>
              </a:graphicData>
            </a:graphic>
          </wp:inline>
        </w:drawing>
      </w:r>
      <w:bookmarkEnd w:id="163"/>
    </w:p>
    <w:p w14:paraId="12146586">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64" w:name="_Toc11475"/>
      <w:bookmarkStart w:id="165" w:name="_Toc11769"/>
      <w:bookmarkStart w:id="166" w:name="_Toc4381"/>
      <w:bookmarkStart w:id="167" w:name="_Toc30750"/>
      <w:bookmarkStart w:id="168" w:name="_Toc97730649"/>
      <w:r>
        <w:rPr>
          <w:rFonts w:hint="eastAsia" w:ascii="宋体" w:hAnsi="宋体" w:eastAsia="宋体" w:cs="宋体"/>
          <w:color w:val="auto"/>
          <w:sz w:val="28"/>
          <w:szCs w:val="28"/>
          <w:lang w:val="en-US" w:eastAsia="zh-CN"/>
        </w:rPr>
        <w:t>附图3-1  开州区温泉镇东河温泉供水站水源地地理位置图</w:t>
      </w:r>
      <w:bookmarkEnd w:id="164"/>
      <w:bookmarkEnd w:id="165"/>
      <w:bookmarkEnd w:id="166"/>
      <w:bookmarkEnd w:id="167"/>
      <w:bookmarkEnd w:id="168"/>
    </w:p>
    <w:p w14:paraId="54EBDCF4">
      <w:pPr>
        <w:jc w:val="center"/>
        <w:rPr>
          <w:rFonts w:hint="eastAsia"/>
          <w:color w:val="auto"/>
        </w:rPr>
        <w:sectPr>
          <w:pgSz w:w="11906" w:h="16838"/>
          <w:pgMar w:top="1440" w:right="1803" w:bottom="1440" w:left="1803" w:header="851" w:footer="992" w:gutter="0"/>
          <w:cols w:space="720" w:num="1"/>
          <w:docGrid w:type="lines" w:linePitch="319" w:charSpace="0"/>
        </w:sectPr>
      </w:pPr>
      <w:r>
        <w:rPr>
          <w:color w:val="auto"/>
        </w:rPr>
        <w:drawing>
          <wp:inline distT="0" distB="0" distL="114300" distR="114300">
            <wp:extent cx="5657850" cy="7980680"/>
            <wp:effectExtent l="0" t="0" r="0" b="1270"/>
            <wp:docPr id="15" name="图片 3" descr="191开州区温泉镇东河温泉供水站水源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191开州区温泉镇东河温泉供水站水源地"/>
                    <pic:cNvPicPr>
                      <a:picLocks noChangeAspect="1"/>
                    </pic:cNvPicPr>
                  </pic:nvPicPr>
                  <pic:blipFill>
                    <a:blip r:embed="rId19"/>
                    <a:stretch>
                      <a:fillRect/>
                    </a:stretch>
                  </pic:blipFill>
                  <pic:spPr>
                    <a:xfrm>
                      <a:off x="0" y="0"/>
                      <a:ext cx="5657850" cy="7980680"/>
                    </a:xfrm>
                    <a:prstGeom prst="rect">
                      <a:avLst/>
                    </a:prstGeom>
                    <a:noFill/>
                    <a:ln>
                      <a:noFill/>
                    </a:ln>
                  </pic:spPr>
                </pic:pic>
              </a:graphicData>
            </a:graphic>
          </wp:inline>
        </w:drawing>
      </w:r>
    </w:p>
    <w:p w14:paraId="710D9ABA">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color w:val="auto"/>
          <w:w w:val="90"/>
          <w:sz w:val="28"/>
          <w:szCs w:val="28"/>
          <w:lang w:val="en-US" w:eastAsia="zh-CN"/>
        </w:rPr>
      </w:pPr>
      <w:bookmarkStart w:id="169" w:name="_Toc24310"/>
      <w:bookmarkStart w:id="170" w:name="_Toc97730650"/>
      <w:bookmarkStart w:id="171" w:name="_Toc8343"/>
      <w:r>
        <w:rPr>
          <w:rFonts w:hint="eastAsia" w:ascii="宋体" w:hAnsi="宋体" w:eastAsia="宋体" w:cs="宋体"/>
          <w:b/>
          <w:bCs/>
          <w:color w:val="auto"/>
          <w:w w:val="90"/>
          <w:sz w:val="28"/>
          <w:szCs w:val="28"/>
          <w:lang w:val="en-US" w:eastAsia="zh-CN"/>
        </w:rPr>
        <w:t>附图3-2  开州区温泉镇东河温泉场镇集中供水工程水源地地理位置图</w:t>
      </w:r>
      <w:bookmarkEnd w:id="169"/>
      <w:bookmarkEnd w:id="170"/>
    </w:p>
    <w:p w14:paraId="5F87827E">
      <w:pPr>
        <w:rPr>
          <w:rFonts w:hint="eastAsia"/>
          <w:color w:val="auto"/>
        </w:rPr>
      </w:pPr>
      <w:r>
        <w:rPr>
          <w:color w:val="auto"/>
        </w:rPr>
        <w:drawing>
          <wp:inline distT="0" distB="0" distL="114300" distR="114300">
            <wp:extent cx="5657850" cy="7995920"/>
            <wp:effectExtent l="0" t="0" r="0" b="5080"/>
            <wp:docPr id="16" name="图片 4" descr="192开州区温泉镇东河温泉场镇集中供水工程水源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192开州区温泉镇东河温泉场镇集中供水工程水源地"/>
                    <pic:cNvPicPr>
                      <a:picLocks noChangeAspect="1"/>
                    </pic:cNvPicPr>
                  </pic:nvPicPr>
                  <pic:blipFill>
                    <a:blip r:embed="rId20"/>
                    <a:stretch>
                      <a:fillRect/>
                    </a:stretch>
                  </pic:blipFill>
                  <pic:spPr>
                    <a:xfrm>
                      <a:off x="0" y="0"/>
                      <a:ext cx="5657850" cy="7995920"/>
                    </a:xfrm>
                    <a:prstGeom prst="rect">
                      <a:avLst/>
                    </a:prstGeom>
                    <a:noFill/>
                    <a:ln>
                      <a:noFill/>
                    </a:ln>
                  </pic:spPr>
                </pic:pic>
              </a:graphicData>
            </a:graphic>
          </wp:inline>
        </w:drawing>
      </w:r>
    </w:p>
    <w:p w14:paraId="3678A2B2">
      <w:pPr>
        <w:rPr>
          <w:rFonts w:hint="eastAsia"/>
          <w:color w:val="auto"/>
        </w:rPr>
      </w:pPr>
    </w:p>
    <w:p w14:paraId="2691D6CF">
      <w:pPr>
        <w:rPr>
          <w:rFonts w:hint="eastAsia"/>
          <w:color w:val="auto"/>
        </w:rPr>
      </w:pPr>
    </w:p>
    <w:bookmarkEnd w:id="171"/>
    <w:p w14:paraId="3B9C64AC">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72" w:name="_Toc31621"/>
      <w:bookmarkStart w:id="173" w:name="_Toc97730651"/>
      <w:r>
        <w:rPr>
          <w:rFonts w:hint="eastAsia" w:ascii="宋体" w:hAnsi="宋体" w:eastAsia="宋体" w:cs="宋体"/>
          <w:color w:val="auto"/>
          <w:sz w:val="28"/>
          <w:szCs w:val="28"/>
          <w:lang w:val="en-US" w:eastAsia="zh-CN"/>
        </w:rPr>
        <w:t>附图4-1  开州区温泉镇东河温泉供水站水源地及固定、移动风险源分布图</w:t>
      </w:r>
      <w:bookmarkEnd w:id="172"/>
      <w:bookmarkEnd w:id="173"/>
    </w:p>
    <w:p w14:paraId="4F6ACF74">
      <w:pPr>
        <w:rPr>
          <w:color w:val="auto"/>
        </w:rPr>
      </w:pPr>
      <w:r>
        <w:rPr>
          <w:color w:val="auto"/>
        </w:rPr>
        <w:drawing>
          <wp:anchor distT="0" distB="0" distL="114300" distR="114300" simplePos="0" relativeHeight="251672576" behindDoc="0" locked="0" layoutInCell="1" allowOverlap="1">
            <wp:simplePos x="0" y="0"/>
            <wp:positionH relativeFrom="column">
              <wp:posOffset>-202565</wp:posOffset>
            </wp:positionH>
            <wp:positionV relativeFrom="paragraph">
              <wp:posOffset>105410</wp:posOffset>
            </wp:positionV>
            <wp:extent cx="5806440" cy="2664460"/>
            <wp:effectExtent l="0" t="0" r="3810" b="2540"/>
            <wp:wrapTopAndBottom/>
            <wp:docPr id="18" name="图片 3" descr="温泉供水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温泉供水站"/>
                    <pic:cNvPicPr>
                      <a:picLocks noChangeAspect="1"/>
                    </pic:cNvPicPr>
                  </pic:nvPicPr>
                  <pic:blipFill>
                    <a:blip r:embed="rId21"/>
                    <a:stretch>
                      <a:fillRect/>
                    </a:stretch>
                  </pic:blipFill>
                  <pic:spPr>
                    <a:xfrm>
                      <a:off x="0" y="0"/>
                      <a:ext cx="5806440" cy="2664460"/>
                    </a:xfrm>
                    <a:prstGeom prst="rect">
                      <a:avLst/>
                    </a:prstGeom>
                    <a:noFill/>
                    <a:ln>
                      <a:noFill/>
                    </a:ln>
                  </pic:spPr>
                </pic:pic>
              </a:graphicData>
            </a:graphic>
          </wp:anchor>
        </w:drawing>
      </w:r>
    </w:p>
    <w:p w14:paraId="59C35E8D">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sectPr>
          <w:pgSz w:w="11906" w:h="16838"/>
          <w:pgMar w:top="1440" w:right="1803" w:bottom="1440" w:left="1803" w:header="851" w:footer="992" w:gutter="0"/>
          <w:cols w:space="720" w:num="1"/>
          <w:docGrid w:type="lines" w:linePitch="319" w:charSpace="0"/>
        </w:sectPr>
      </w:pPr>
      <w:bookmarkStart w:id="174" w:name="_Toc8070"/>
      <w:r>
        <w:rPr>
          <w:rFonts w:hint="eastAsia" w:ascii="宋体" w:hAnsi="宋体" w:eastAsia="宋体" w:cs="宋体"/>
          <w:color w:val="auto"/>
          <w:sz w:val="28"/>
          <w:szCs w:val="28"/>
          <w:lang w:val="en-US" w:eastAsia="zh-CN"/>
        </w:rPr>
        <w:drawing>
          <wp:anchor distT="0" distB="0" distL="114300" distR="114300" simplePos="0" relativeHeight="251673600" behindDoc="0" locked="0" layoutInCell="1" allowOverlap="1">
            <wp:simplePos x="0" y="0"/>
            <wp:positionH relativeFrom="column">
              <wp:posOffset>-269240</wp:posOffset>
            </wp:positionH>
            <wp:positionV relativeFrom="paragraph">
              <wp:posOffset>999490</wp:posOffset>
            </wp:positionV>
            <wp:extent cx="5900420" cy="3740785"/>
            <wp:effectExtent l="0" t="0" r="5080" b="12065"/>
            <wp:wrapTopAndBottom/>
            <wp:docPr id="19" name="图片 4" descr="温泉集中供水工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descr="温泉集中供水工程"/>
                    <pic:cNvPicPr>
                      <a:picLocks noChangeAspect="1"/>
                    </pic:cNvPicPr>
                  </pic:nvPicPr>
                  <pic:blipFill>
                    <a:blip r:embed="rId22"/>
                    <a:stretch>
                      <a:fillRect/>
                    </a:stretch>
                  </pic:blipFill>
                  <pic:spPr>
                    <a:xfrm>
                      <a:off x="0" y="0"/>
                      <a:ext cx="5900420" cy="3740785"/>
                    </a:xfrm>
                    <a:prstGeom prst="rect">
                      <a:avLst/>
                    </a:prstGeom>
                    <a:noFill/>
                    <a:ln>
                      <a:noFill/>
                    </a:ln>
                  </pic:spPr>
                </pic:pic>
              </a:graphicData>
            </a:graphic>
          </wp:anchor>
        </w:drawing>
      </w:r>
      <w:bookmarkStart w:id="175" w:name="_Toc97730652"/>
      <w:r>
        <w:rPr>
          <w:rFonts w:hint="eastAsia" w:ascii="宋体" w:hAnsi="宋体" w:eastAsia="宋体" w:cs="宋体"/>
          <w:color w:val="auto"/>
          <w:sz w:val="28"/>
          <w:szCs w:val="28"/>
          <w:lang w:val="en-US" w:eastAsia="zh-CN"/>
        </w:rPr>
        <w:t>附图4-2  开州区温泉镇东河温泉场镇集中供水工程水源地及固定、移动风险源分布图</w:t>
      </w:r>
      <w:bookmarkEnd w:id="174"/>
      <w:bookmarkEnd w:id="175"/>
    </w:p>
    <w:p w14:paraId="5EBF16F9">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76" w:name="_Toc16301"/>
      <w:bookmarkStart w:id="177" w:name="_Toc97730653"/>
      <w:r>
        <w:rPr>
          <w:rFonts w:hint="eastAsia" w:ascii="宋体" w:hAnsi="宋体" w:eastAsia="宋体" w:cs="宋体"/>
          <w:color w:val="auto"/>
          <w:sz w:val="28"/>
          <w:szCs w:val="28"/>
          <w:lang w:val="en-US" w:eastAsia="zh-CN"/>
        </w:rPr>
        <w:t>附图5 突发环境事件应急物资分布图</w:t>
      </w:r>
      <w:bookmarkEnd w:id="176"/>
      <w:bookmarkEnd w:id="177"/>
    </w:p>
    <w:p w14:paraId="5204E06D">
      <w:pPr>
        <w:rPr>
          <w:color w:val="auto"/>
        </w:rPr>
      </w:pPr>
      <w:r>
        <w:rPr>
          <w:color w:val="auto"/>
        </w:rPr>
        <mc:AlternateContent>
          <mc:Choice Requires="wps">
            <w:drawing>
              <wp:anchor distT="0" distB="0" distL="114300" distR="114300" simplePos="0" relativeHeight="251666432" behindDoc="0" locked="0" layoutInCell="1" allowOverlap="1">
                <wp:simplePos x="0" y="0"/>
                <wp:positionH relativeFrom="column">
                  <wp:posOffset>695325</wp:posOffset>
                </wp:positionH>
                <wp:positionV relativeFrom="paragraph">
                  <wp:posOffset>107315</wp:posOffset>
                </wp:positionV>
                <wp:extent cx="100965" cy="110490"/>
                <wp:effectExtent l="21590" t="29210" r="29845" b="31750"/>
                <wp:wrapNone/>
                <wp:docPr id="20" name="五角星 20"/>
                <wp:cNvGraphicFramePr/>
                <a:graphic xmlns:a="http://schemas.openxmlformats.org/drawingml/2006/main">
                  <a:graphicData uri="http://schemas.microsoft.com/office/word/2010/wordprocessingShape">
                    <wps:wsp>
                      <wps:cNvSpPr/>
                      <wps:spPr>
                        <a:xfrm>
                          <a:off x="0" y="0"/>
                          <a:ext cx="100965" cy="110490"/>
                        </a:xfrm>
                        <a:prstGeom prst="star5">
                          <a:avLst/>
                        </a:prstGeom>
                        <a:gradFill rotWithShape="0">
                          <a:gsLst>
                            <a:gs pos="0">
                              <a:srgbClr val="FFFFFF"/>
                            </a:gs>
                            <a:gs pos="100000">
                              <a:srgbClr val="FFFFFF"/>
                            </a:gs>
                          </a:gsLst>
                          <a:lin ang="0"/>
                          <a:tileRect/>
                        </a:gradFill>
                        <a:ln w="15875" cap="flat" cmpd="sng">
                          <a:solidFill>
                            <a:srgbClr val="FF0000"/>
                          </a:solidFill>
                          <a:prstDash val="solid"/>
                          <a:miter/>
                          <a:headEnd type="none" w="med" len="med"/>
                          <a:tailEnd type="none" w="med" len="med"/>
                        </a:ln>
                      </wps:spPr>
                      <wps:txbx>
                        <w:txbxContent>
                          <w:p w14:paraId="17ABE039"/>
                        </w:txbxContent>
                      </wps:txbx>
                      <wps:bodyPr upright="1"/>
                    </wps:wsp>
                  </a:graphicData>
                </a:graphic>
              </wp:anchor>
            </w:drawing>
          </mc:Choice>
          <mc:Fallback>
            <w:pict>
              <v:shape id="_x0000_s1026" o:spid="_x0000_s1026" style="position:absolute;left:0pt;margin-left:54.75pt;margin-top:8.45pt;height:8.7pt;width:7.95pt;z-index:251666432;mso-width-relative:page;mso-height-relative:page;" fillcolor="#FFFFFF" filled="t" stroked="t" coordsize="100965,110490" o:gfxdata="UEsDBAoAAAAAAIdO4kAAAAAAAAAAAAAAAAAEAAAAZHJzL1BLAwQUAAAACACHTuJA+7C6D9gAAAAJ&#10;AQAADwAAAGRycy9kb3ducmV2LnhtbE2PzU7DMBCE70i8g7VI3Kid9IcmjdMDEhfEAUK5u7GJ08br&#10;KHabhqdne6K3He3s7DfF9uI6djZDaD1KSGYCmMHa6xYbCbuv16c1sBAVatV5NBImE2Bb3t8VKtd+&#10;xE9zrmLDKARDriTYGPuc81Bb41SY+d4g7X784FQkOTRcD2qkcNfxVIgVd6pF+mBVb16sqY/VyRHG&#10;+2G3/k6qtzZM2cdzMx1SO/5K+fiQiA2waC7x3wxXfLqBkpj2/oQ6sI60yJZkpWGVAbsa0uUC2F7C&#10;fDEHXhb8tkH5B1BLAwQUAAAACACHTuJAuvVB70ECAAC2BAAADgAAAGRycy9lMm9Eb2MueG1srVTN&#10;jtMwEL4j8Q6W7zRJRZfdqOkeKOWCYMWCOLuJk1jynzxuk74G4sCNI+/A86wQj8HYDt2qSKgHckjG&#10;nplvZr6ZyfJ2VJLsuQNhdEWLWU4J17VphO4q+vHD5tk1JeCZbpg0mlf0wIHerp4+WQ625HPTG9lw&#10;RxBEQznYivbe2zLLoO65YjAzlmtUtsYp5vHouqxxbEB0JbN5nl9lg3GNdabmAHi7Tko6IbpLAE3b&#10;ipqvTb1TXPuE6rhkHkuCXligq5ht2/Lav2tb4J7IimKlPr4xCMrb8M5WS1Z2jtle1FMK7JIUzmpS&#10;TGgMeoRaM8/Izom/oJSonQHT+lltVJYKiYxgFUV+xs19zyyPtSDVYI+kw/+Drd/u7xwRTUXnSIlm&#10;Cjv+8OPLr++ff379RvAOCRoslGh3b+/cdAIUQ7Vj61T4Yh1kjKQejqTy0ZMaL4s8v7laUFKjqijy&#10;5zcRM3t0tg78a24UCUJFcfbcInLJ9m/AY0S0/WMzUdxshJTEGf9J+D6yFMJGJaBPEog1SFS6Btdt&#10;X0pH9gznYBOfUBkid3BqjcniE5H+7RI9p1BSaMLC9kzj5IXk73HypgCOxXRDGKnJgCwsrl8EQhhu&#10;T4tTi6Ky2AHQXYpspDi6nKUR00vAcGoWCFoz6FOFUZVmWwnPQ9tY2XPWvNIN8QeLTda43DRko3hD&#10;ieT4LwhStPRMyEsskQSpkcUwIGkkguTH7YgwQdya5oDjtbNOdD32toikBw2Oc6I/rV7Yl9NzBH38&#10;3a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uwug/YAAAACQEAAA8AAAAAAAAAAQAgAAAAIgAA&#10;AGRycy9kb3ducmV2LnhtbFBLAQIUABQAAAAIAIdO4kC69UHvQQIAALYEAAAOAAAAAAAAAAEAIAAA&#10;ACcBAABkcnMvZTJvRG9jLnhtbFBLBQYAAAAABgAGAFkBAADaBQAAAAA=&#10;" path="m0,42203l38565,42203,50482,0,62399,42203,100964,42203,69764,68286,81682,110489,50482,84406,19282,110489,31200,68286xe">
                <v:path textboxrect="0,0,100965,110490" o:connectlocs="50482,0;0,42203;19282,110489;81682,110489;100964,42203" o:connectangles="247,164,82,82,0"/>
                <v:fill type="gradient" on="t" color2="#FFFFFF" angle="90" focus="100%" focussize="0,0">
                  <o:fill type="gradientUnscaled" v:ext="backwardCompatible"/>
                </v:fill>
                <v:stroke weight="1.25pt" color="#FF0000" joinstyle="miter"/>
                <v:imagedata o:title=""/>
                <o:lock v:ext="edit" aspectratio="f"/>
                <v:textbox>
                  <w:txbxContent>
                    <w:p w14:paraId="17ABE039"/>
                  </w:txbxContent>
                </v:textbox>
              </v:shape>
            </w:pict>
          </mc:Fallback>
        </mc:AlternateContent>
      </w:r>
      <w:r>
        <w:rPr>
          <w:color w:val="auto"/>
        </w:rPr>
        <w:drawing>
          <wp:anchor distT="0" distB="0" distL="114300" distR="114300" simplePos="0" relativeHeight="251674624" behindDoc="1" locked="0" layoutInCell="1" allowOverlap="1">
            <wp:simplePos x="0" y="0"/>
            <wp:positionH relativeFrom="column">
              <wp:posOffset>-39370</wp:posOffset>
            </wp:positionH>
            <wp:positionV relativeFrom="paragraph">
              <wp:posOffset>36195</wp:posOffset>
            </wp:positionV>
            <wp:extent cx="8880475" cy="4712335"/>
            <wp:effectExtent l="0" t="0" r="15875" b="12065"/>
            <wp:wrapNone/>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23" r:link="rId24"/>
                    <a:stretch>
                      <a:fillRect/>
                    </a:stretch>
                  </pic:blipFill>
                  <pic:spPr>
                    <a:xfrm>
                      <a:off x="0" y="0"/>
                      <a:ext cx="8880475" cy="4712335"/>
                    </a:xfrm>
                    <a:prstGeom prst="rect">
                      <a:avLst/>
                    </a:prstGeom>
                    <a:noFill/>
                    <a:ln>
                      <a:noFill/>
                    </a:ln>
                  </pic:spPr>
                </pic:pic>
              </a:graphicData>
            </a:graphic>
          </wp:anchor>
        </w:drawing>
      </w:r>
    </w:p>
    <w:p w14:paraId="5883B99A">
      <w:pPr>
        <w:widowControl/>
        <w:jc w:val="left"/>
        <w:rPr>
          <w:rFonts w:ascii="宋体" w:hAnsi="宋体" w:cs="宋体"/>
          <w:color w:val="auto"/>
          <w:kern w:val="0"/>
          <w:sz w:val="24"/>
        </w:rPr>
      </w:pPr>
    </w:p>
    <w:p w14:paraId="3F5E372D">
      <w:pPr>
        <w:jc w:val="center"/>
        <w:rPr>
          <w:rFonts w:hint="eastAsia"/>
          <w:color w:val="auto"/>
        </w:rPr>
        <w:sectPr>
          <w:pgSz w:w="16838" w:h="11906" w:orient="landscape"/>
          <w:pgMar w:top="1803" w:right="1440" w:bottom="1803" w:left="1440" w:header="851" w:footer="992" w:gutter="0"/>
          <w:cols w:space="720" w:num="1"/>
          <w:docGrid w:type="lines" w:linePitch="319" w:charSpace="0"/>
        </w:sectPr>
      </w:pPr>
      <w:r>
        <w:rPr>
          <w:color w:val="auto"/>
          <w:sz w:val="24"/>
        </w:rPr>
        <mc:AlternateContent>
          <mc:Choice Requires="wpg">
            <w:drawing>
              <wp:anchor distT="0" distB="0" distL="114300" distR="114300" simplePos="0" relativeHeight="251670528" behindDoc="0" locked="0" layoutInCell="1" allowOverlap="1">
                <wp:simplePos x="0" y="0"/>
                <wp:positionH relativeFrom="column">
                  <wp:posOffset>-39370</wp:posOffset>
                </wp:positionH>
                <wp:positionV relativeFrom="paragraph">
                  <wp:posOffset>3848100</wp:posOffset>
                </wp:positionV>
                <wp:extent cx="986790" cy="495300"/>
                <wp:effectExtent l="4445" t="5080" r="18415" b="13970"/>
                <wp:wrapNone/>
                <wp:docPr id="27" name="组合 27"/>
                <wp:cNvGraphicFramePr/>
                <a:graphic xmlns:a="http://schemas.openxmlformats.org/drawingml/2006/main">
                  <a:graphicData uri="http://schemas.microsoft.com/office/word/2010/wordprocessingGroup">
                    <wpg:wgp>
                      <wpg:cNvGrpSpPr/>
                      <wpg:grpSpPr>
                        <a:xfrm>
                          <a:off x="0" y="0"/>
                          <a:ext cx="986790" cy="495300"/>
                          <a:chOff x="4943" y="1077664"/>
                          <a:chExt cx="1554" cy="780"/>
                        </a:xfrm>
                      </wpg:grpSpPr>
                      <wps:wsp>
                        <wps:cNvPr id="24" name="矩形 24"/>
                        <wps:cNvSpPr/>
                        <wps:spPr>
                          <a:xfrm>
                            <a:off x="4943" y="1077664"/>
                            <a:ext cx="1555" cy="78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00BC28">
                              <w:pPr>
                                <w:ind w:firstLine="420" w:firstLineChars="200"/>
                                <w:rPr>
                                  <w:rFonts w:hint="eastAsia"/>
                                  <w:szCs w:val="21"/>
                                </w:rPr>
                              </w:pPr>
                              <w:r>
                                <w:rPr>
                                  <w:rFonts w:hint="eastAsia"/>
                                  <w:szCs w:val="21"/>
                                </w:rPr>
                                <w:t>取水点</w:t>
                              </w:r>
                            </w:p>
                            <w:p w14:paraId="5A8D5F14">
                              <w:pPr>
                                <w:ind w:firstLine="420" w:firstLineChars="200"/>
                                <w:rPr>
                                  <w:rFonts w:hint="eastAsia"/>
                                  <w:szCs w:val="21"/>
                                </w:rPr>
                              </w:pPr>
                              <w:r>
                                <w:rPr>
                                  <w:rFonts w:hint="eastAsia"/>
                                  <w:szCs w:val="21"/>
                                </w:rPr>
                                <w:t>镇政府</w:t>
                              </w:r>
                            </w:p>
                          </w:txbxContent>
                        </wps:txbx>
                        <wps:bodyPr upright="1"/>
                      </wps:wsp>
                      <wps:wsp>
                        <wps:cNvPr id="25" name="五角星 25"/>
                        <wps:cNvSpPr/>
                        <wps:spPr>
                          <a:xfrm>
                            <a:off x="5197" y="1077755"/>
                            <a:ext cx="255" cy="230"/>
                          </a:xfrm>
                          <a:prstGeom prst="star5">
                            <a:avLst/>
                          </a:prstGeom>
                          <a:gradFill rotWithShape="0">
                            <a:gsLst>
                              <a:gs pos="0">
                                <a:srgbClr val="FFFFFF"/>
                              </a:gs>
                              <a:gs pos="100000">
                                <a:srgbClr val="FFFFFF"/>
                              </a:gs>
                            </a:gsLst>
                            <a:lin ang="0"/>
                            <a:tileRect/>
                          </a:gradFill>
                          <a:ln w="15875" cap="flat" cmpd="sng">
                            <a:solidFill>
                              <a:srgbClr val="FF0000"/>
                            </a:solidFill>
                            <a:prstDash val="solid"/>
                            <a:miter/>
                            <a:headEnd type="none" w="med" len="med"/>
                            <a:tailEnd type="none" w="med" len="med"/>
                          </a:ln>
                        </wps:spPr>
                        <wps:txbx>
                          <w:txbxContent>
                            <w:p w14:paraId="22290C33"/>
                          </w:txbxContent>
                        </wps:txbx>
                        <wps:bodyPr upright="1"/>
                      </wps:wsp>
                      <wps:wsp>
                        <wps:cNvPr id="26" name="等腰三角形 26"/>
                        <wps:cNvSpPr/>
                        <wps:spPr>
                          <a:xfrm>
                            <a:off x="5264" y="1078093"/>
                            <a:ext cx="176" cy="154"/>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wpg:wgp>
                  </a:graphicData>
                </a:graphic>
              </wp:anchor>
            </w:drawing>
          </mc:Choice>
          <mc:Fallback>
            <w:pict>
              <v:group id="_x0000_s1026" o:spid="_x0000_s1026" o:spt="203" style="position:absolute;left:0pt;margin-left:-3.1pt;margin-top:303pt;height:39pt;width:77.7pt;z-index:251670528;mso-width-relative:page;mso-height-relative:page;" coordorigin="4943,1077664" coordsize="1554,780" o:gfxdata="UEsDBAoAAAAAAIdO4kAAAAAAAAAAAAAAAAAEAAAAZHJzL1BLAwQUAAAACACHTuJAvhtoRdkAAAAK&#10;AQAADwAAAGRycy9kb3ducmV2LnhtbE2PTU/CQBCG7yb+h82YeIPdIjZQuyWGqCdiIpgYbkt3aBu6&#10;s013aeHfO5z0OO88eT/y1cW1YsA+NJ40JFMFAqn0tqFKw/fufbIAEaIha1pPqOGKAVbF/V1uMutH&#10;+sJhGyvBJhQyo6GOscukDGWNzoSp75D4d/S9M5HPvpK2NyObu1bOlEqlMw1xQm06XNdYnrZnp+Fj&#10;NOPrU/I2bE7H9XW/e/782SSo9eNDol5ARLzEPxhu9bk6FNzp4M9kg2g1TNIZkxpSlfKmGzBfsnJg&#10;ZTFXIItc/p9Q/AJQSwMEFAAAAAgAh07iQNnsHMZ+AwAAuQoAAA4AAABkcnMvZTJvRG9jLnhtbO1W&#10;PY/cNhDtA/g/EOp9Wu2t9kO4PRc57zVBYsQJXPMkSmJAkQTJu93rEyDugiBFOgNpghQBUho2/G/8&#10;9TP8SErr3fPZvjhI5y20Q3I4nHnzZsijO5tOkAtmLFdymWQHo4QwWaqKy2aZfP/d6vY8IdZRWVGh&#10;JFsml8wmd45vfXG01gUbq1aJihkCI9IWa71MWud0kaa2bFlH7YHSTGKxVqajDkPTpJWha1jvRDoe&#10;jabpWplKG1UyazF7EheT3qK5iUFV17xkJ6o875h00aphgjqEZFuubXIcvK1rVrpv6toyR8QyQaQu&#10;fHEI5DP/TY+PaNEYqlte9i7Qm7hwJaaOcolDt6ZOqKPk3PB3THW8NMqq2h2UqktjIAERRJGNrmBz&#10;atS5DrE0xbrRW9CRqCuof7LZ8uuLe4bwapmMZwmRtEPGXz398cUvPxNMAJ21bgoonRp9X98z/UQT&#10;Rz7gTW06/49QyCbgernFlW0cKTG5mE9nCyBeYmmyyA9HPe5li+T4XZPF5DAhWM1Gs9l0OolpKdu7&#10;vYEszydx+2we9qbDwan3b+vOWoOT9i1Q9r8Bdb+lmgX8rcdgAAqu9EA9+uvFsz/IOPjrz4bSFiVb&#10;WAB2DUTXBztghVDzIdTM47ANlRbaWHfKVEe8sEwM2B1IRy++si6qDir+XKsEr1ZciDAwzdmXwpAL&#10;ikpYhV9vfU9NSLJGwvKxd4KivGuUFcROgyJWNuG8vR121/Ao/K4z7B07obaNDgQLMcsdd8zAeVq0&#10;jFZ3ZUXcpQYLJbpP4p3pWJUQwdCsvBQ0HeXiJprATkhA6HMTs+EltznbwIwXz1R1ibSea8ObFpBG&#10;xP0KaBRV/n8+AerIp+dPfnv9568vf39EAH/v4Y0olWcLVG9fPzMQKKA0UGo8MGp8uF887zAKfd/k&#10;H6IUOmVgFDHKPeCuDRXi693nr7GgYRSIVqi9OL1HkD3mNXZXO4vc8VMf3oKsbo8SXBLqb66+pTgu&#10;2LeoCwDg1Xp3vc3I7Cyfzz6N2quV988jC8N7FfCZ2rJ5T6ucDtR+9ffD1z/98/zxQxA89MzpvyP4&#10;GJdCT/D5aHG4T/BshnP85ZLhmogJGq6loR/2LdMZDrYI39RpEdpmYGDVFyCtfkhI3Qk8AdAnSb6T&#10;8V4ZuR9MBqJ+brHXttiP9NVwa+NFMxSpf335J9PuGPLui/P4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AFAABbQ29udGVudF9UeXBlc10ueG1s&#10;UEsBAhQACgAAAAAAh07iQAAAAAAAAAAAAAAAAAYAAAAAAAAAAAAQAAAA0gQAAF9yZWxzL1BLAQIU&#10;ABQAAAAIAIdO4kCKFGY80QAAAJQBAAALAAAAAAAAAAEAIAAAAPYEAABfcmVscy8ucmVsc1BLAQIU&#10;AAoAAAAAAIdO4kAAAAAAAAAAAAAAAAAEAAAAAAAAAAAAEAAAAAAAAABkcnMvUEsBAhQAFAAAAAgA&#10;h07iQL4baEXZAAAACgEAAA8AAAAAAAAAAQAgAAAAIgAAAGRycy9kb3ducmV2LnhtbFBLAQIUABQA&#10;AAAIAIdO4kDZ7BzGfgMAALkKAAAOAAAAAAAAAAEAIAAAACgBAABkcnMvZTJvRG9jLnhtbFBLBQYA&#10;AAAABgAGAFkBAAAYBwAAAAA=&#10;">
                <o:lock v:ext="edit" aspectratio="f"/>
                <v:rect id="_x0000_s1026" o:spid="_x0000_s1026" o:spt="1" style="position:absolute;left:4943;top:1077664;height:781;width:1555;" fillcolor="#FFFFFF" filled="t" stroked="t" coordsize="21600,21600" o:gfxdata="UEsDBAoAAAAAAIdO4kAAAAAAAAAAAAAAAAAEAAAAZHJzL1BLAwQUAAAACACHTuJANMvSL70AAADb&#10;AAAADwAAAGRycy9kb3ducmV2LnhtbEWPwW7CMBBE75X4B2uReit20gq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y9I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200BC28">
                        <w:pPr>
                          <w:ind w:firstLine="420" w:firstLineChars="200"/>
                          <w:rPr>
                            <w:rFonts w:hint="eastAsia"/>
                            <w:szCs w:val="21"/>
                          </w:rPr>
                        </w:pPr>
                        <w:r>
                          <w:rPr>
                            <w:rFonts w:hint="eastAsia"/>
                            <w:szCs w:val="21"/>
                          </w:rPr>
                          <w:t>取水点</w:t>
                        </w:r>
                      </w:p>
                      <w:p w14:paraId="5A8D5F14">
                        <w:pPr>
                          <w:ind w:firstLine="420" w:firstLineChars="200"/>
                          <w:rPr>
                            <w:rFonts w:hint="eastAsia"/>
                            <w:szCs w:val="21"/>
                          </w:rPr>
                        </w:pPr>
                        <w:r>
                          <w:rPr>
                            <w:rFonts w:hint="eastAsia"/>
                            <w:szCs w:val="21"/>
                          </w:rPr>
                          <w:t>镇政府</w:t>
                        </w:r>
                      </w:p>
                    </w:txbxContent>
                  </v:textbox>
                </v:rect>
                <v:shape id="_x0000_s1026" o:spid="_x0000_s1026" style="position:absolute;left:5197;top:1077755;height:230;width:255;" fillcolor="#FFFFFF" filled="t" stroked="t" coordsize="255,230" o:gfxdata="UEsDBAoAAAAAAIdO4kAAAAAAAAAAAAAAAAAEAAAAZHJzL1BLAwQUAAAACACHTuJA9N/2Cr0AAADb&#10;AAAADwAAAGRycy9kb3ducmV2LnhtbEWPS2vDMBCE74X8B7GB3ho5gZbiWA4hIaRgKORxSG6LtX4Q&#10;a2UkxXH/fVUI9DjMzDdMthpNJwZyvrWsYD5LQBCXVrdcKzifdm+fIHxA1thZJgU/5GGVT14yTLV9&#10;8IGGY6hFhLBPUUETQp9K6cuGDPqZ7YmjV1lnMETpaqkdPiLcdHKRJB/SYMtxocGeNg2Vt+PdKKgu&#10;w25T4XW73hfFuXVW+u9BKvU6nSdLEIHG8B9+tr+0gsU7/H2JP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3/YKvQAA&#10;ANsAAAAPAAAAAAAAAAEAIAAAACIAAABkcnMvZG93bnJldi54bWxQSwECFAAUAAAACACHTuJAMy8F&#10;njsAAAA5AAAAEAAAAAAAAAABACAAAAAMAQAAZHJzL3NoYXBleG1sLnhtbFBLBQYAAAAABgAGAFsB&#10;AAC2AwAAAAA=&#10;" path="m0,87l97,87,127,0,157,87,254,87,176,142,206,229,127,175,48,229,78,142xe">
                  <v:path textboxrect="0,0,255,230" o:connectlocs="127,0;0,87;48,229;206,229;254,87" o:connectangles="247,164,82,82,0"/>
                  <v:fill type="gradient" on="t" color2="#FFFFFF" angle="90" focus="100%" focussize="0,0">
                    <o:fill type="gradientUnscaled" v:ext="backwardCompatible"/>
                  </v:fill>
                  <v:stroke weight="1.25pt" color="#FF0000" joinstyle="miter"/>
                  <v:imagedata o:title=""/>
                  <o:lock v:ext="edit" aspectratio="f"/>
                  <v:textbox>
                    <w:txbxContent>
                      <w:p w14:paraId="22290C33"/>
                    </w:txbxContent>
                  </v:textbox>
                </v:shape>
                <v:shape id="_x0000_s1026" o:spid="_x0000_s1026" o:spt="5" type="#_x0000_t5" style="position:absolute;left:5264;top:1078093;height:154;width:176;" fillcolor="#FFFFFF" filled="t" stroked="t" coordsize="21600,21600" o:gfxdata="UEsDBAoAAAAAAIdO4kAAAAAAAAAAAAAAAAAEAAAAZHJzL1BLAwQUAAAACACHTuJA0VSWlbsAAADb&#10;AAAADwAAAGRycy9kb3ducmV2LnhtbEWPzarCMBSE94LvEI7gRjTRhUo1uhBEcXPRXi64OzTHtrQ5&#10;KU3qz9ubC4LLYWa+Ydbbp63FnVpfOtYwnSgQxJkzJecaftP9eAnCB2SDtWPS8CIP202/t8bEuAef&#10;6X4JuYgQ9glqKEJoEil9VpBFP3ENcfRurrUYomxzaVp8RLit5UypubRYclwosKFdQVl16awGrK5/&#10;J2t+ZJfmpTpcu9EirUjr4WCqViACPcM3/GkfjYbZHP6/xB8gN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VSWlbsAAADb&#10;AAAADwAAAAAAAAABACAAAAAiAAAAZHJzL2Rvd25yZXYueG1sUEsBAhQAFAAAAAgAh07iQDMvBZ47&#10;AAAAOQAAABAAAAAAAAAAAQAgAAAACgEAAGRycy9zaGFwZXhtbC54bWxQSwUGAAAAAAYABgBbAQAA&#10;tAMAAAAA&#10;" adj="10800">
                  <v:fill on="t" focussize="0,0"/>
                  <v:stroke color="#000000" joinstyle="miter"/>
                  <v:imagedata o:title=""/>
                  <o:lock v:ext="edit" aspectratio="f"/>
                </v:shape>
              </v:group>
            </w:pict>
          </mc:Fallback>
        </mc:AlternateContent>
      </w: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5296535</wp:posOffset>
                </wp:positionH>
                <wp:positionV relativeFrom="paragraph">
                  <wp:posOffset>3806825</wp:posOffset>
                </wp:positionV>
                <wp:extent cx="987425" cy="278130"/>
                <wp:effectExtent l="0" t="0" r="0" b="0"/>
                <wp:wrapNone/>
                <wp:docPr id="30" name="矩形 30"/>
                <wp:cNvGraphicFramePr/>
                <a:graphic xmlns:a="http://schemas.openxmlformats.org/drawingml/2006/main">
                  <a:graphicData uri="http://schemas.microsoft.com/office/word/2010/wordprocessingShape">
                    <wps:wsp>
                      <wps:cNvSpPr/>
                      <wps:spPr>
                        <a:xfrm>
                          <a:off x="0" y="0"/>
                          <a:ext cx="987425" cy="278130"/>
                        </a:xfrm>
                        <a:prstGeom prst="rect">
                          <a:avLst/>
                        </a:prstGeom>
                        <a:noFill/>
                        <a:ln>
                          <a:noFill/>
                        </a:ln>
                      </wps:spPr>
                      <wps:txbx>
                        <w:txbxContent>
                          <w:p w14:paraId="44613892">
                            <w:pPr>
                              <w:rPr>
                                <w:rFonts w:hint="eastAsia"/>
                                <w:b/>
                                <w:color w:val="FF0000"/>
                                <w:szCs w:val="21"/>
                              </w:rPr>
                            </w:pPr>
                            <w:r>
                              <w:rPr>
                                <w:rFonts w:hint="eastAsia"/>
                                <w:b/>
                                <w:color w:val="FF0000"/>
                                <w:szCs w:val="21"/>
                              </w:rPr>
                              <w:t>温泉镇政府</w:t>
                            </w:r>
                          </w:p>
                        </w:txbxContent>
                      </wps:txbx>
                      <wps:bodyPr upright="1"/>
                    </wps:wsp>
                  </a:graphicData>
                </a:graphic>
              </wp:anchor>
            </w:drawing>
          </mc:Choice>
          <mc:Fallback>
            <w:pict>
              <v:rect id="_x0000_s1026" o:spid="_x0000_s1026" o:spt="1" style="position:absolute;left:0pt;margin-left:417.05pt;margin-top:299.75pt;height:21.9pt;width:77.75pt;z-index:251668480;mso-width-relative:page;mso-height-relative:page;" filled="f" stroked="f" coordsize="21600,21600" o:gfxdata="UEsDBAoAAAAAAIdO4kAAAAAAAAAAAAAAAAAEAAAAZHJzL1BLAwQUAAAACACHTuJApVYSJtwAAAAL&#10;AQAADwAAAGRycy9kb3ducmV2LnhtbE2PQU+DQBCF7yb+h82YeDF2QVoCyNBDE2NjTBqp9ryFEYjs&#10;LGW3UP+960mPk/flvW/y9UX3YqLRdoYRwkUAgrgydccNwvv+6T4BYZ3iWvWGCeGbLKyL66tcZbWZ&#10;+Y2m0jXCl7DNFELr3JBJaauWtLILMxD77NOMWjl/jo2sRzX7ct3LhyCIpVYd+4VWDbRpqfoqzxph&#10;rnbTYf/6LHd3h63h0/a0KT9eEG9vwuARhKOL+4PhV9+rQ+GdjubMtRU9QhItQ48irNJ0BcITaZLG&#10;II4I8TKKQBa5/P9D8QNQSwMEFAAAAAgAh07iQEpEJo6iAQAAQgMAAA4AAABkcnMvZTJvRG9jLnht&#10;bK1SS27bMBDdF+gdCO5r2e4njmA5GyPdFG2AtAegKdIiwB9maEs+TYHscogep8g1MqRUp002WXRD&#10;zQyf3sx7w/XV4Cw7KkATfMMXszlnysvQGr9v+I/v1+9WnGESvhU2eNXwk0J+tXn7Zt3HWi1DF2yr&#10;gBGJx7qPDe9SinVVoeyUEzgLUXm61AGcSJTCvmpB9MTubLWczz9VfYA2QpAKkarb8ZJPjPAawqC1&#10;kWob5MEpn0ZWUFYkkoSdicg3ZVqtlUzftEaVmG04KU3lpCYU7/JZbdai3oOInZHTCOI1IzzT5ITx&#10;1PRMtRVJsAOYF1TOSAgYdJrJ4KpRSHGEVCzmz7y57URURQtZjfFsOv4/Wvn1eAPMtA1/T5Z44Wjj&#10;Dz/vf/+6Y1Qgd/qINYFu4w1MGVKYpQ4aXP6SCDYUR09nR9WQmKTi5eriw/IjZ5KulherxchZPf0c&#10;AdNnFRzLQcOBFlZ8FMcvmKghQf9Aci8fro21ZWnW/1MgYK5Ued5xwhylYTdMY+9CeyKphwhm31Gr&#10;RVZX4GRtaTQ9g7y7v/OCenr6m0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lVhIm3AAAAAsBAAAP&#10;AAAAAAAAAAEAIAAAACIAAABkcnMvZG93bnJldi54bWxQSwECFAAUAAAACACHTuJASkQmjqIBAABC&#10;AwAADgAAAAAAAAABACAAAAArAQAAZHJzL2Uyb0RvYy54bWxQSwUGAAAAAAYABgBZAQAAPwUAAAAA&#10;">
                <v:fill on="f" focussize="0,0"/>
                <v:stroke on="f"/>
                <v:imagedata o:title=""/>
                <o:lock v:ext="edit" aspectratio="f"/>
                <v:textbox>
                  <w:txbxContent>
                    <w:p w14:paraId="44613892">
                      <w:pPr>
                        <w:rPr>
                          <w:rFonts w:hint="eastAsia"/>
                          <w:b/>
                          <w:color w:val="FF0000"/>
                          <w:szCs w:val="21"/>
                        </w:rPr>
                      </w:pPr>
                      <w:r>
                        <w:rPr>
                          <w:rFonts w:hint="eastAsia"/>
                          <w:b/>
                          <w:color w:val="FF0000"/>
                          <w:szCs w:val="21"/>
                        </w:rPr>
                        <w:t>温泉镇政府</w:t>
                      </w:r>
                    </w:p>
                  </w:txbxContent>
                </v:textbox>
              </v:rect>
            </w:pict>
          </mc:Fallback>
        </mc:AlternateContent>
      </w:r>
      <w:r>
        <w:rPr>
          <w:color w:val="auto"/>
          <w:sz w:val="24"/>
        </w:rPr>
        <mc:AlternateContent>
          <mc:Choice Requires="wps">
            <w:drawing>
              <wp:anchor distT="0" distB="0" distL="114300" distR="114300" simplePos="0" relativeHeight="251667456" behindDoc="0" locked="0" layoutInCell="1" allowOverlap="1">
                <wp:simplePos x="0" y="0"/>
                <wp:positionH relativeFrom="column">
                  <wp:posOffset>5694680</wp:posOffset>
                </wp:positionH>
                <wp:positionV relativeFrom="paragraph">
                  <wp:posOffset>3669665</wp:posOffset>
                </wp:positionV>
                <wp:extent cx="111760" cy="97790"/>
                <wp:effectExtent l="8255" t="9525" r="13335" b="6985"/>
                <wp:wrapNone/>
                <wp:docPr id="32" name="等腰三角形 32"/>
                <wp:cNvGraphicFramePr/>
                <a:graphic xmlns:a="http://schemas.openxmlformats.org/drawingml/2006/main">
                  <a:graphicData uri="http://schemas.microsoft.com/office/word/2010/wordprocessingShape">
                    <wps:wsp>
                      <wps:cNvSpPr/>
                      <wps:spPr>
                        <a:xfrm>
                          <a:off x="0" y="0"/>
                          <a:ext cx="111760" cy="97790"/>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txbx>
                        <w:txbxContent>
                          <w:p w14:paraId="57450350"/>
                        </w:txbxContent>
                      </wps:txbx>
                      <wps:bodyPr upright="1"/>
                    </wps:wsp>
                  </a:graphicData>
                </a:graphic>
              </wp:anchor>
            </w:drawing>
          </mc:Choice>
          <mc:Fallback>
            <w:pict>
              <v:shape id="_x0000_s1026" o:spid="_x0000_s1026" o:spt="5" type="#_x0000_t5" style="position:absolute;left:0pt;margin-left:448.4pt;margin-top:288.95pt;height:7.7pt;width:8.8pt;z-index:251667456;mso-width-relative:page;mso-height-relative:page;" fillcolor="#FFFFFF" filled="t" stroked="t" coordsize="21600,21600" o:gfxdata="UEsDBAoAAAAAAIdO4kAAAAAAAAAAAAAAAAAEAAAAZHJzL1BLAwQUAAAACACHTuJARGCI5tsAAAAL&#10;AQAADwAAAGRycy9kb3ducmV2LnhtbE2PwU7DMBBE70j8g7VIXBC1Q0vThDg9ICEkLqgNQurNjZck&#10;SryOYqctf89yguPOjmbeFNuLG8QJp9B50pAsFAik2tuOGg0f1cv9BkSIhqwZPKGGbwywLa+vCpNb&#10;f6YdnvaxERxCITca2hjHXMpQt+hMWPgRiX9ffnIm8jk10k7mzOFukA9KraUzHXFDa0Z8brHu97PT&#10;YPrD55uz73Kumk69Hua7tOpR69ubRD2BiHiJf2b4xWd0KJnp6GeyQQwaNtma0aOGxzTNQLAjS1Yr&#10;EEdWsuUSZFnI/xvKH1BLAwQUAAAACACHTuJAttstZy0CAABiBAAADgAAAGRycy9lMm9Eb2MueG1s&#10;rVTNjtMwEL4j8Q6W7zRNUXfZqOkeKOWCYKWFB5jaTmLkP9lumz4Ah73yCFw4IXHcC28DYh+DsRu6&#10;2+XSAzk448zM52++GWd22WtFNsIHaU1Ny9GYEmGY5dK0Nf3wfvnsBSUhguGgrBE13YlAL+dPn8y2&#10;rhIT21nFhScIYkK1dTXtYnRVUQTWCQ1hZJ0w6Gys1xBx69uCe9giulbFZDw+K7bWc+ctEyHg18Xe&#10;SQdEfwqgbRrJxMKytRYm7lG9UBCxpNBJF+g8s20aweK7pgkiElVTrDTmFQ9Be5XWYj6DqvXgOskG&#10;CnAKhUc1aZAGDz1ALSACWXv5D5SWzNtgmzhiVhf7QrIiWEU5fqTNdQdO5FpQ6uAOoof/B8vebq48&#10;kbymzyeUGNDY8d/fbu4+ff95e3P39fOvH18IelCmrQsVRl+7Kz/sApqp5r7xOr2xGtJnaXcHaUUf&#10;CcOPZVmen6HoDF0X5+cXWfniPtf5EF8Lq0kyahq9BNOqVDxUsHkTYhaXDwyBf6Sk0QpbtQFFpmN8&#10;EkcEHILR+guZMoNVki+lUnnj29VL5Qmm1nSZnyH5KEwZskWy08kUaQNOeoMThqZ2qFYwbeZ2lBEe&#10;AidOB1ZHYYnYAkK3J5Bd6XyotIwiiQtVJ4C/MpzEncOGGLyINJHRglOiBN7bZOXICFKdEomCKIMK&#10;pTbuG5es2K96hEnmyvIdjsLaedl22IIya5I8OHpZ2uGapNl+uM+g97+G+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EYIjm2wAAAAsBAAAPAAAAAAAAAAEAIAAAACIAAABkcnMvZG93bnJldi54bWxQ&#10;SwECFAAUAAAACACHTuJAttstZy0CAABiBAAADgAAAAAAAAABACAAAAAqAQAAZHJzL2Uyb0RvYy54&#10;bWxQSwUGAAAAAAYABgBZAQAAyQUAAAAA&#10;" adj="10800">
                <v:fill on="t" focussize="0,0"/>
                <v:stroke color="#000000" joinstyle="miter"/>
                <v:imagedata o:title=""/>
                <o:lock v:ext="edit" aspectratio="f"/>
                <v:textbox>
                  <w:txbxContent>
                    <w:p w14:paraId="57450350"/>
                  </w:txbxContent>
                </v:textbox>
              </v:shape>
            </w:pict>
          </mc:Fallback>
        </mc:AlternateContent>
      </w:r>
      <w:r>
        <w:rPr>
          <w:color w:val="auto"/>
        </w:rPr>
        <mc:AlternateContent>
          <mc:Choice Requires="wps">
            <w:drawing>
              <wp:anchor distT="0" distB="0" distL="114300" distR="114300" simplePos="0" relativeHeight="251675648" behindDoc="0" locked="0" layoutInCell="1" allowOverlap="1">
                <wp:simplePos x="0" y="0"/>
                <wp:positionH relativeFrom="column">
                  <wp:posOffset>5436870</wp:posOffset>
                </wp:positionH>
                <wp:positionV relativeFrom="paragraph">
                  <wp:posOffset>3074670</wp:posOffset>
                </wp:positionV>
                <wp:extent cx="100965" cy="110490"/>
                <wp:effectExtent l="21590" t="29210" r="29845" b="31750"/>
                <wp:wrapNone/>
                <wp:docPr id="31" name="五角星 31"/>
                <wp:cNvGraphicFramePr/>
                <a:graphic xmlns:a="http://schemas.openxmlformats.org/drawingml/2006/main">
                  <a:graphicData uri="http://schemas.microsoft.com/office/word/2010/wordprocessingShape">
                    <wps:wsp>
                      <wps:cNvSpPr/>
                      <wps:spPr>
                        <a:xfrm>
                          <a:off x="0" y="0"/>
                          <a:ext cx="100965" cy="110490"/>
                        </a:xfrm>
                        <a:prstGeom prst="star5">
                          <a:avLst/>
                        </a:prstGeom>
                        <a:gradFill rotWithShape="0">
                          <a:gsLst>
                            <a:gs pos="0">
                              <a:srgbClr val="FFFFFF"/>
                            </a:gs>
                            <a:gs pos="100000">
                              <a:srgbClr val="FFFFFF"/>
                            </a:gs>
                          </a:gsLst>
                          <a:lin ang="0"/>
                          <a:tileRect/>
                        </a:gradFill>
                        <a:ln w="15875" cap="flat" cmpd="sng">
                          <a:solidFill>
                            <a:srgbClr val="FF0000"/>
                          </a:solidFill>
                          <a:prstDash val="solid"/>
                          <a:miter/>
                          <a:headEnd type="none" w="med" len="med"/>
                          <a:tailEnd type="none" w="med" len="med"/>
                        </a:ln>
                      </wps:spPr>
                      <wps:txbx>
                        <w:txbxContent>
                          <w:p w14:paraId="2588BFF4"/>
                        </w:txbxContent>
                      </wps:txbx>
                      <wps:bodyPr upright="1"/>
                    </wps:wsp>
                  </a:graphicData>
                </a:graphic>
              </wp:anchor>
            </w:drawing>
          </mc:Choice>
          <mc:Fallback>
            <w:pict>
              <v:shape id="_x0000_s1026" o:spid="_x0000_s1026" style="position:absolute;left:0pt;margin-left:428.1pt;margin-top:242.1pt;height:8.7pt;width:7.95pt;z-index:251675648;mso-width-relative:page;mso-height-relative:page;" fillcolor="#FFFFFF" filled="t" stroked="t" coordsize="100965,110490" o:gfxdata="UEsDBAoAAAAAAIdO4kAAAAAAAAAAAAAAAAAEAAAAZHJzL1BLAwQUAAAACACHTuJAXKHgK9kAAAAL&#10;AQAADwAAAGRycy9kb3ducmV2LnhtbE2PwU7DMAyG70i8Q2QkbixNtXWhNN0BiQviAGXcsyY0HY1T&#10;Ndm68vSYE9xs+fPvz9Xu4gd2tlPsAyoQqwyYxTaYHjsF+/enOwksJo1GDwGtgsVG2NXXV5UuTZjx&#10;zZ6b1DEKwVhqBS6lseQ8ts56HVdhtEizzzB5naidOm4mPVO4H3ieZQX3uke64PRoH51tv5qTJ42X&#10;415+iOa5j8v967Zbjrmbv5W6vRHZA7BkL+kPhl992oGanA7hhCayQYHcFDmhCtZyTQURcpsLYAcF&#10;m0wUwOuK//+h/gFQSwMEFAAAAAgAh07iQFE/ajlBAgAAtgQAAA4AAABkcnMvZTJvRG9jLnhtbK1U&#10;zY7TMBC+I/EOlu80yUKX3ajpHijlgmDFgji7jpNY8p88btO+BuLAjSPvwPMgxGMwtkO3KhLaAzkk&#10;Y8/4m5lvPmdxs9eK7IQHaU1Dq1lJiTDcttL0Df3wfv3kihIIzLRMWSMaehBAb5aPHy1GV4sLO1jV&#10;Ck8QxEA9uoYOIbi6KIAPQjOYWScMOjvrNQu49H3RejYiulbFRVleFqP1rfOWCwDcXWUnnRD9QwBt&#10;10kuVpZvtTAho3qhWMCWYJAO6DJV23WCh7ddByIQ1VDsNKQ3JkF7E9/FcsHq3jM3SD6VwB5SwllP&#10;mkmDSY9QKxYY2Xr5F5SW3FuwXZhxq4vcSGIEu6jKM27uBuZE6gWpBnckHf4fLH+zu/VEtg19WlFi&#10;mMaJ//j++de3Tz+/fCW4hwSNDmqMu3O3floBmrHbfed1/GIfZJ9IPRxJFftAOG5WZXl9OaeEo6uq&#10;ymfXifTi/rDzEF4Jq0k0Gora8/PEJdu9hoAZMfZPzERxu5ZKEW/DRxmGxFJMm5yAZ7JBnEWi8jb4&#10;fvNCebJjqIN1emJniNzDaTQWi09C+veRdHJKpaQhLN6eSU5BKvEOlTcl8CyVG9MoQ0ZkYX71PBLC&#10;8PZ0qFo0tcMJgOlzZqvk8chZGam8DAynYZGgFYMhd5hcWdtaBhHHxupBsPalaUk4OByywctNYzVa&#10;tJQogf+CaKXIwKR6SCSSoAyyGAWSJRGtsN/sESaaG9seUF5b52U/4GyTnFI4yjnTn69evC+n6wR6&#10;/7tZ/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coeAr2QAAAAsBAAAPAAAAAAAAAAEAIAAAACIA&#10;AABkcnMvZG93bnJldi54bWxQSwECFAAUAAAACACHTuJAUT9qOUECAAC2BAAADgAAAAAAAAABACAA&#10;AAAoAQAAZHJzL2Uyb0RvYy54bWxQSwUGAAAAAAYABgBZAQAA2wUAAAAA&#10;" path="m0,42203l38565,42203,50482,0,62399,42203,100964,42203,69764,68286,81682,110489,50482,84406,19282,110489,31200,68286xe">
                <v:path textboxrect="0,0,100965,110490" o:connectlocs="50482,0;0,42203;19282,110489;81682,110489;100964,42203" o:connectangles="247,164,82,82,0"/>
                <v:fill type="gradient" on="t" color2="#FFFFFF" angle="90" focus="100%" focussize="0,0">
                  <o:fill type="gradientUnscaled" v:ext="backwardCompatible"/>
                </v:fill>
                <v:stroke weight="1.25pt" color="#FF0000" joinstyle="miter"/>
                <v:imagedata o:title=""/>
                <o:lock v:ext="edit" aspectratio="f"/>
                <v:textbox>
                  <w:txbxContent>
                    <w:p w14:paraId="2588BFF4"/>
                  </w:txbxContent>
                </v:textbox>
              </v:shape>
            </w:pict>
          </mc:Fallback>
        </mc:AlternateContent>
      </w:r>
    </w:p>
    <w:p w14:paraId="19426CA7">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sz w:val="28"/>
          <w:szCs w:val="28"/>
          <w:lang w:val="en-US" w:eastAsia="zh-CN"/>
        </w:rPr>
      </w:pPr>
      <w:bookmarkStart w:id="178" w:name="_Toc97730654"/>
      <w:bookmarkStart w:id="179" w:name="_Toc3879"/>
      <w:r>
        <w:rPr>
          <w:rFonts w:hint="eastAsia" w:ascii="宋体" w:hAnsi="宋体" w:eastAsia="宋体" w:cs="宋体"/>
          <w:color w:val="auto"/>
          <w:sz w:val="28"/>
          <w:szCs w:val="28"/>
          <w:lang w:val="en-US" w:eastAsia="zh-CN"/>
        </w:rPr>
        <w:t>附图6 饮用水源地监测点位分布图</w:t>
      </w:r>
      <w:bookmarkEnd w:id="178"/>
      <w:bookmarkEnd w:id="179"/>
    </w:p>
    <w:p w14:paraId="14A17DD5">
      <w:pPr>
        <w:rPr>
          <w:rFonts w:hint="eastAsia"/>
          <w:color w:val="auto"/>
        </w:rPr>
      </w:pPr>
      <w:r>
        <w:rPr>
          <w:color w:val="auto"/>
          <w:sz w:val="24"/>
        </w:rPr>
        <w:drawing>
          <wp:inline distT="0" distB="0" distL="114300" distR="114300">
            <wp:extent cx="5269865" cy="7253605"/>
            <wp:effectExtent l="0" t="0" r="6985" b="4445"/>
            <wp:docPr id="28" name="图片 7" descr="微信图片_2020100918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descr="微信图片_20201009181100"/>
                    <pic:cNvPicPr>
                      <a:picLocks noChangeAspect="1"/>
                    </pic:cNvPicPr>
                  </pic:nvPicPr>
                  <pic:blipFill>
                    <a:blip r:embed="rId25"/>
                    <a:stretch>
                      <a:fillRect/>
                    </a:stretch>
                  </pic:blipFill>
                  <pic:spPr>
                    <a:xfrm>
                      <a:off x="0" y="0"/>
                      <a:ext cx="5269865" cy="7253605"/>
                    </a:xfrm>
                    <a:prstGeom prst="rect">
                      <a:avLst/>
                    </a:prstGeom>
                    <a:noFill/>
                    <a:ln>
                      <a:noFill/>
                    </a:ln>
                  </pic:spPr>
                </pic:pic>
              </a:graphicData>
            </a:graphic>
          </wp:inline>
        </w:drawing>
      </w:r>
      <w:r>
        <w:rPr>
          <w:color w:val="auto"/>
        </w:rPr>
        <mc:AlternateContent>
          <mc:Choice Requires="wps">
            <w:drawing>
              <wp:anchor distT="0" distB="0" distL="114300" distR="114300" simplePos="0" relativeHeight="251678720" behindDoc="0" locked="0" layoutInCell="1" allowOverlap="1">
                <wp:simplePos x="0" y="0"/>
                <wp:positionH relativeFrom="column">
                  <wp:posOffset>1407795</wp:posOffset>
                </wp:positionH>
                <wp:positionV relativeFrom="paragraph">
                  <wp:posOffset>2535555</wp:posOffset>
                </wp:positionV>
                <wp:extent cx="1538605" cy="485775"/>
                <wp:effectExtent l="7620" t="8255" r="15875" b="744220"/>
                <wp:wrapNone/>
                <wp:docPr id="33" name="矩形标注 33"/>
                <wp:cNvGraphicFramePr/>
                <a:graphic xmlns:a="http://schemas.openxmlformats.org/drawingml/2006/main">
                  <a:graphicData uri="http://schemas.microsoft.com/office/word/2010/wordprocessingShape">
                    <wps:wsp>
                      <wps:cNvSpPr/>
                      <wps:spPr>
                        <a:xfrm>
                          <a:off x="0" y="0"/>
                          <a:ext cx="1538605" cy="485775"/>
                        </a:xfrm>
                        <a:prstGeom prst="wedgeRectCallout">
                          <a:avLst>
                            <a:gd name="adj1" fmla="val 47606"/>
                            <a:gd name="adj2" fmla="val 193662"/>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080C06B2">
                            <w:pPr>
                              <w:rPr>
                                <w:sz w:val="13"/>
                                <w:szCs w:val="13"/>
                              </w:rPr>
                            </w:pPr>
                            <w:r>
                              <w:rPr>
                                <w:rFonts w:hint="eastAsia" w:hAnsi="宋体"/>
                                <w:bCs/>
                                <w:sz w:val="13"/>
                                <w:szCs w:val="13"/>
                              </w:rPr>
                              <w:t>开州区温泉镇东河温泉场镇集中供水工程水源地</w:t>
                            </w:r>
                          </w:p>
                        </w:txbxContent>
                      </wps:txbx>
                      <wps:bodyPr upright="1"/>
                    </wps:wsp>
                  </a:graphicData>
                </a:graphic>
              </wp:anchor>
            </w:drawing>
          </mc:Choice>
          <mc:Fallback>
            <w:pict>
              <v:shape id="_x0000_s1026" o:spid="_x0000_s1026" o:spt="61" type="#_x0000_t61" style="position:absolute;left:0pt;margin-left:110.85pt;margin-top:199.65pt;height:38.25pt;width:121.15pt;z-index:251678720;mso-width-relative:page;mso-height-relative:page;" fillcolor="#FFFFFF" filled="t" stroked="t" coordsize="21600,21600" o:gfxdata="UEsDBAoAAAAAAIdO4kAAAAAAAAAAAAAAAAAEAAAAZHJzL1BLAwQUAAAACACHTuJAoOz6VNkAAAAL&#10;AQAADwAAAGRycy9kb3ducmV2LnhtbE2PwU7DMAyG70i8Q2QkbixtV7auNN1hiNMkBBuIa9aEpiJx&#10;qiTdyttjTnCz5U+/v7/Zzs6ysw5x8CggX2TANHZeDdgLeDs+3VXAYpKopPWoBXzrCNv2+qqRtfIX&#10;fNXnQ+oZhWCspQCT0lhzHjujnYwLP2qk26cPTiZaQ89VkBcKd5YXWbbiTg5IH4wc9c7o7uswOQH7&#10;eT88T2n3PpXBPB6riC/Kfghxe5NnD8CSntMfDL/6pA4tOZ38hCoyK6Ao8jWhApabzRIYEeWqpHYn&#10;Gtb3FfC24f87tD9QSwMEFAAAAAgAh07iQDqKhP94AgAAFwUAAA4AAABkcnMvZTJvRG9jLnhtbK1U&#10;zY7TMBC+I/EOlu80Sbv92WrTPbSUC4IVC+Ls2k5i5D/ZbtM+AY8B4gRnzjwOy2swdtJuWSS0B3JI&#10;Jvb4m2++mfHV9V5JtOPOC6NLXAxyjLimhgldl/jd2/WzGUY+EM2INJqX+MA9vl48fXLV2jkfmsZI&#10;xh0CEO3nrS1xE4KdZ5mnDVfED4zlGjYr4xQJ8OvqjDnSArqS2TDPJ1lrHLPOUO49rK66TdwjuscA&#10;mqoSlK8M3SquQ4fquCQBUvKNsB4vEtuq4jS8rirPA5IlhkxDekMQsDfxnS2uyLx2xDaC9hTIYyg8&#10;yEkRoSHoCWpFAkFbJ/6CUoI6400VBtSorEskKQJZFPkDbW4bYnnKBaT29iS6/3+w9NXuxiHBSjwa&#10;YaSJgor/+vTt548vd58/3n3/imAZNGqtn4Prrb1x/Z8HMya8r5yKX0gF7ZOuh5OufB8QhcViPJpN&#10;8jFGFPYuZuPpdBxBs/vT1vnwghuFolHilrOav4HiLYmUZhuStGT30oekMeuJEvahwKhSEkq2IxJd&#10;TCf5pC/pmc/w3Ke4HE0mwz58DwlEjgT6GrK1kBI5E96L0KQyxKTSpj+y8MgaqES37F29WUqHgEaJ&#10;1+npY9S+O9Z5F3l8EtK/jwCn+hhKCo1IHM++X4OQSZ1OQ+jeRDeGkRq1Ue8ZKIwogfGsYCzAVBZK&#10;7HXdRTZSnI78QWM6ulwuU8Uhvj93iwKtiG+6DNNWp7QSgTtgQuYNJ+y5ZigcLHSRhtsDRzaKM4wk&#10;h8smWskzECEf4wkkpIZGie3XNVy0wn6zB5hobgw7QP9urRN1A41TJNHjDsxL6rB+tuNAnv8n0Pv7&#10;bP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oOz6VNkAAAALAQAADwAAAAAAAAABACAAAAAiAAAA&#10;ZHJzL2Rvd25yZXYueG1sUEsBAhQAFAAAAAgAh07iQDqKhP94AgAAFwUAAA4AAAAAAAAAAQAgAAAA&#10;KAEAAGRycy9lMm9Eb2MueG1sUEsFBgAAAAAGAAYAWQEAABIGAAAAAA==&#10;" adj="21083,52631">
                <v:fill type="gradient" on="t" color2="#FFFFFF" angle="90" focus="100%" focussize="0,0">
                  <o:fill type="gradientUnscaled" v:ext="backwardCompatible"/>
                </v:fill>
                <v:stroke weight="1.25pt" color="#739CC3" joinstyle="miter"/>
                <v:imagedata o:title=""/>
                <o:lock v:ext="edit" aspectratio="f"/>
                <v:textbox>
                  <w:txbxContent>
                    <w:p w14:paraId="080C06B2">
                      <w:pPr>
                        <w:rPr>
                          <w:sz w:val="13"/>
                          <w:szCs w:val="13"/>
                        </w:rPr>
                      </w:pPr>
                      <w:r>
                        <w:rPr>
                          <w:rFonts w:hint="eastAsia" w:hAnsi="宋体"/>
                          <w:bCs/>
                          <w:sz w:val="13"/>
                          <w:szCs w:val="13"/>
                        </w:rPr>
                        <w:t>开州区温泉镇东河温泉场镇集中供水工程水源地</w:t>
                      </w:r>
                    </w:p>
                  </w:txbxContent>
                </v:textbox>
              </v:shape>
            </w:pict>
          </mc:Fallback>
        </mc:AlternateContent>
      </w:r>
      <w:r>
        <w:rPr>
          <w:color w:val="auto"/>
        </w:rPr>
        <mc:AlternateContent>
          <mc:Choice Requires="wps">
            <w:drawing>
              <wp:anchor distT="0" distB="0" distL="114300" distR="114300" simplePos="0" relativeHeight="251677696" behindDoc="0" locked="0" layoutInCell="1" allowOverlap="1">
                <wp:simplePos x="0" y="0"/>
                <wp:positionH relativeFrom="column">
                  <wp:posOffset>3177540</wp:posOffset>
                </wp:positionH>
                <wp:positionV relativeFrom="paragraph">
                  <wp:posOffset>3545205</wp:posOffset>
                </wp:positionV>
                <wp:extent cx="1565910" cy="290195"/>
                <wp:effectExtent l="36830" t="7620" r="16510" b="140335"/>
                <wp:wrapNone/>
                <wp:docPr id="29" name="矩形标注 29"/>
                <wp:cNvGraphicFramePr/>
                <a:graphic xmlns:a="http://schemas.openxmlformats.org/drawingml/2006/main">
                  <a:graphicData uri="http://schemas.microsoft.com/office/word/2010/wordprocessingShape">
                    <wps:wsp>
                      <wps:cNvSpPr/>
                      <wps:spPr>
                        <a:xfrm>
                          <a:off x="0" y="0"/>
                          <a:ext cx="1565910" cy="290195"/>
                        </a:xfrm>
                        <a:prstGeom prst="wedgeRectCallout">
                          <a:avLst>
                            <a:gd name="adj1" fmla="val -48542"/>
                            <a:gd name="adj2" fmla="val 86981"/>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wps:spPr>
                      <wps:txbx>
                        <w:txbxContent>
                          <w:p w14:paraId="1D844F6C">
                            <w:pPr>
                              <w:rPr>
                                <w:sz w:val="13"/>
                                <w:szCs w:val="13"/>
                              </w:rPr>
                            </w:pPr>
                            <w:r>
                              <w:rPr>
                                <w:rFonts w:hint="eastAsia" w:hAnsi="宋体"/>
                                <w:bCs/>
                                <w:sz w:val="13"/>
                                <w:szCs w:val="13"/>
                              </w:rPr>
                              <w:t>开州区温泉镇东河温泉供水站水源地</w:t>
                            </w:r>
                          </w:p>
                        </w:txbxContent>
                      </wps:txbx>
                      <wps:bodyPr upright="1"/>
                    </wps:wsp>
                  </a:graphicData>
                </a:graphic>
              </wp:anchor>
            </w:drawing>
          </mc:Choice>
          <mc:Fallback>
            <w:pict>
              <v:shape id="_x0000_s1026" o:spid="_x0000_s1026" o:spt="61" type="#_x0000_t61" style="position:absolute;left:0pt;margin-left:250.2pt;margin-top:279.15pt;height:22.85pt;width:123.3pt;z-index:251677696;mso-width-relative:page;mso-height-relative:page;" fillcolor="#FFFFFF" filled="t" stroked="t" coordsize="21600,21600" o:gfxdata="UEsDBAoAAAAAAIdO4kAAAAAAAAAAAAAAAAAEAAAAZHJzL1BLAwQUAAAACACHTuJAUL+lTdoAAAAL&#10;AQAADwAAAGRycy9kb3ducmV2LnhtbE2PTUvEMBCG74L/IYzgzU3qdrdLbbqgoAgirKvoNW3Gtm4y&#10;KU32w3/veNLbDPPwzvNW65N34oBTHAJpyGYKBFIb7ECdhrfX+6sViJgMWeMCoYZvjLCuz88qU9pw&#10;pBc8bFMnOIRiaTT0KY2llLHt0Zs4CyMS3z7D5E3ideqkncyRw72T10otpTcD8YfejHjXY7vb7r2G&#10;58zFMN8VFL+y2/eP5rFLTw8brS8vMnUDIuEp/cHwq8/qULNTE/Zko3AaFkrljPKwWM1BMFHkBbdr&#10;NCxVrkDWlfzfof4BUEsDBBQAAAAIAIdO4kCCjQTPeAIAABcFAAAOAAAAZHJzL2Uyb0RvYy54bWyt&#10;VM1y0zAQvjPDO2h0bx2nTZtk6vSQEC4MdCgMZ8WSbTH6G60SJ0/AY8BwKmfOPA7lNVjJbhrKDJMD&#10;PthrafXtt9/u6up6qxXZCA/SmoLmpwNKhCktl6Yu6Pt3y5MxJRCY4UxZIwq6E0CvZ8+fXbVuKoa2&#10;sYoLTxDEwLR1BW1CcNMsg7IRmsGpdcLgZmW9ZgF/fZ1xz1pE1yobDgYXWWs9d96WAgBXF90m7RH9&#10;MYC2qmQpFrZca2FCh+qFYgFTgkY6oLPEtqpEGd5UFYhAVEEx05DeGATtVXxnsys2rT1zjSx7CuwY&#10;Ck9y0kwaDLqHWrDAyNrLv6C0LL0FW4XT0uqsSyQpglnkgyfa3DbMiZQLSg1uLzr8P9jy9ebGE8kL&#10;OpxQYpjGiv/6/O3nj6/3Xz7df78juIwatQ6m6Hrrbnz/B2jGhLeV1/GLqZBt0nW311VsAylxMR9d&#10;jCY5Sl7i3nAyyCejCJo9nnYewkthNYlGQVvBa/EWizdnStl1SNKyzSsISWPeE2X8Y05JpRWWbMMU&#10;OTkfj86HfU0PnIaHTuOLyTjvw/eQSOSBQF9DvpRKEW/DBxmaVIaYVNqEBxZAnMVKdMvg69VceYI0&#10;CrpMTx+jhu5Y550P4pOQ/n0EOdUPoZQ0hMXx7Ps1SJXU6TTE7k10YxhlSBv1Hl+OUG2G41nhWKCp&#10;HZYYTN1Ftkruj/xB4/JsMp+f9czh0C0KtGDQdBmmrU5oLYPwyIRNG8H4C8NJ2DnsIoO3B41stOCU&#10;KIGXTbSSZ2BSHeOJIiiDjRLbr2u4aIXtaosw0VxZvsP+XTsv6wYbpyts3MF5SR3Wz3YcyMP/BPp4&#10;n8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FC/pU3aAAAACwEAAA8AAAAAAAAAAQAgAAAAIgAA&#10;AGRycy9kb3ducmV2LnhtbFBLAQIUABQAAAAIAIdO4kCCjQTPeAIAABcFAAAOAAAAAAAAAAEAIAAA&#10;ACkBAABkcnMvZTJvRG9jLnhtbFBLBQYAAAAABgAGAFkBAAATBgAAAAA=&#10;" adj="315,29588">
                <v:fill type="gradient" on="t" color2="#FFFFFF" angle="90" focus="100%" focussize="0,0">
                  <o:fill type="gradientUnscaled" v:ext="backwardCompatible"/>
                </v:fill>
                <v:stroke weight="1.25pt" color="#739CC3" joinstyle="miter"/>
                <v:imagedata o:title=""/>
                <o:lock v:ext="edit" aspectratio="f"/>
                <v:textbox>
                  <w:txbxContent>
                    <w:p w14:paraId="1D844F6C">
                      <w:pPr>
                        <w:rPr>
                          <w:sz w:val="13"/>
                          <w:szCs w:val="13"/>
                        </w:rPr>
                      </w:pPr>
                      <w:r>
                        <w:rPr>
                          <w:rFonts w:hint="eastAsia" w:hAnsi="宋体"/>
                          <w:bCs/>
                          <w:sz w:val="13"/>
                          <w:szCs w:val="13"/>
                        </w:rPr>
                        <w:t>开州区温泉镇东河温泉供水站水源地</w:t>
                      </w:r>
                    </w:p>
                  </w:txbxContent>
                </v:textbox>
              </v:shape>
            </w:pict>
          </mc:Fallback>
        </mc:AlternateContent>
      </w:r>
      <w:r>
        <w:rPr>
          <w:color w:val="auto"/>
        </w:rPr>
        <mc:AlternateContent>
          <mc:Choice Requires="wps">
            <w:drawing>
              <wp:anchor distT="0" distB="0" distL="114300" distR="114300" simplePos="0" relativeHeight="251676672" behindDoc="0" locked="0" layoutInCell="1" allowOverlap="1">
                <wp:simplePos x="0" y="0"/>
                <wp:positionH relativeFrom="column">
                  <wp:posOffset>2850515</wp:posOffset>
                </wp:positionH>
                <wp:positionV relativeFrom="paragraph">
                  <wp:posOffset>3743960</wp:posOffset>
                </wp:positionV>
                <wp:extent cx="131445" cy="146050"/>
                <wp:effectExtent l="21590" t="29845" r="37465" b="33655"/>
                <wp:wrapNone/>
                <wp:docPr id="35" name="五角星 35"/>
                <wp:cNvGraphicFramePr/>
                <a:graphic xmlns:a="http://schemas.openxmlformats.org/drawingml/2006/main">
                  <a:graphicData uri="http://schemas.microsoft.com/office/word/2010/wordprocessingShape">
                    <wps:wsp>
                      <wps:cNvSpPr/>
                      <wps:spPr>
                        <a:xfrm>
                          <a:off x="0" y="0"/>
                          <a:ext cx="131445" cy="146050"/>
                        </a:xfrm>
                        <a:prstGeom prst="star5">
                          <a:avLst/>
                        </a:prstGeom>
                        <a:gradFill rotWithShape="0">
                          <a:gsLst>
                            <a:gs pos="0">
                              <a:srgbClr val="FFFFFF"/>
                            </a:gs>
                            <a:gs pos="100000">
                              <a:srgbClr val="FFFFFF"/>
                            </a:gs>
                          </a:gsLst>
                          <a:lin ang="0"/>
                          <a:tileRect/>
                        </a:gradFill>
                        <a:ln w="15875" cap="flat" cmpd="sng">
                          <a:solidFill>
                            <a:srgbClr val="FF0000"/>
                          </a:solidFill>
                          <a:prstDash val="solid"/>
                          <a:miter/>
                          <a:headEnd type="none" w="med" len="med"/>
                          <a:tailEnd type="none" w="med" len="med"/>
                        </a:ln>
                      </wps:spPr>
                      <wps:txbx>
                        <w:txbxContent>
                          <w:p w14:paraId="42EE65C3">
                            <w:r>
                              <w:drawing>
                                <wp:inline distT="0" distB="0" distL="114300" distR="114300">
                                  <wp:extent cx="6350" cy="6985"/>
                                  <wp:effectExtent l="0" t="0" r="0" b="0"/>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26"/>
                                          <a:stretch>
                                            <a:fillRect/>
                                          </a:stretch>
                                        </pic:blipFill>
                                        <pic:spPr>
                                          <a:xfrm>
                                            <a:off x="0" y="0"/>
                                            <a:ext cx="6350" cy="6985"/>
                                          </a:xfrm>
                                          <a:prstGeom prst="rect">
                                            <a:avLst/>
                                          </a:prstGeom>
                                          <a:noFill/>
                                          <a:ln>
                                            <a:noFill/>
                                          </a:ln>
                                        </pic:spPr>
                                      </pic:pic>
                                    </a:graphicData>
                                  </a:graphic>
                                </wp:inline>
                              </w:drawing>
                            </w:r>
                          </w:p>
                        </w:txbxContent>
                      </wps:txbx>
                      <wps:bodyPr upright="1"/>
                    </wps:wsp>
                  </a:graphicData>
                </a:graphic>
              </wp:anchor>
            </w:drawing>
          </mc:Choice>
          <mc:Fallback>
            <w:pict>
              <v:shape id="_x0000_s1026" o:spid="_x0000_s1026" style="position:absolute;left:0pt;margin-left:224.45pt;margin-top:294.8pt;height:11.5pt;width:10.35pt;z-index:251676672;mso-width-relative:page;mso-height-relative:page;" fillcolor="#FFFFFF" filled="t" stroked="t" coordsize="131445,146050" o:gfxdata="UEsDBAoAAAAAAIdO4kAAAAAAAAAAAAAAAAAEAAAAZHJzL1BLAwQUAAAACACHTuJAJV9wetsAAAAL&#10;AQAADwAAAGRycy9kb3ducmV2LnhtbE2Py07DMBBF90j8gzVI7KidKERpiFOplQChrhqQ2E5iN0nr&#10;R2S7aeHrcVd0N6M5unNutbpoRWbp/GgNh2TBgEjTWTGansPX5+tTAcQHNAKVNZLDj/Swqu/vKiyF&#10;PZudnJvQkxhifIkchhCmklLfDVKjX9hJmnjbW6cxxNX1VDg8x3CtaMpYTjWOJn4YcJKbQXbH5qQ5&#10;vOOs0nX7sXVsu9u8rdPfffN94PzxIWEvQIK8hH8YrvpRHero1NqTEZ4oDllWLCPK4blY5kAikeXX&#10;oeWQJ2kOtK7obYf6D1BLAwQUAAAACACHTuJAgmEOHUECAAC2BAAADgAAAGRycy9lMm9Eb2MueG1s&#10;rVTNjtMwEL4j8Q6W7zTJbrusoqZ7oJQLghUL4uw6TmLJf/K4TfoaiAM3jrwDz4MQj8HYCd2qSKgH&#10;ckjGnplvZr6ZyfJu0IrshQdpTUWLWU6JMNzW0rQV/fB+8+yWEgjM1ExZIyp6EEDvVk+fLHtXiivb&#10;WVULTxDEQNm7inYhuDLLgHdCM5hZJwwqG+s1C3j0bVZ71iO6VtlVnt9kvfW185YLALxdj0o6IfpL&#10;AG3TSC7Wlu+0MGFE9UKxgCVBJx3QVcq2aQQPb5sGRCCqolhpSG8MgvI2vrPVkpWtZ66TfEqBXZLC&#10;WU2aSYNBj1BrFhjZefkXlJbcW7BNmHGrs7GQxAhWUeRn3Dx0zIlUC1IN7kg6/D9Y/mZ/74msK3q9&#10;oMQwjR3/8f3zr2+ffn75SvAOCeodlGj34O79dAIUY7VD43X8Yh1kSKQejqSKIRCOl8V1MZ8jNkdV&#10;Mb/JF4n07NHZeQivhNUkChXF2fOLxCXbv4aAEdH2j81Ecb2RShFvw0cZusRSDJuUgD6jQJxFosZr&#10;8O32hfJkz3AONumJlSFyC6fWRR6fhPRvl+Q5hVLSEBa3ZxqnIJV4h5M3BfAspRvDKEN6ZGFx+zwS&#10;wnB7GpxaFLXDDoBpx8hWyaPLWRopvREYTs0iQWsG3VhhUo2zrWUQsW2s7ASrX5qahIPDJhtcbhqz&#10;0aKmRAn8F0QpWQYm1SWWSIIyyGIckHEkohSG7YAwUdza+oDjtXNeth32tkikRw2O80j/uHpxX07P&#10;CfTxd7P6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VfcHrbAAAACwEAAA8AAAAAAAAAAQAgAAAA&#10;IgAAAGRycy9kb3ducmV2LnhtbFBLAQIUABQAAAAIAIdO4kCCYQ4dQQIAALYEAAAOAAAAAAAAAAEA&#10;IAAAACoBAABkcnMvZTJvRG9jLnhtbFBLBQYAAAAABgAGAFkBAADdBQAAAAA=&#10;" path="m0,55785l50207,55786,65722,0,81237,55786,131444,55785,90825,90263,106341,146049,65722,111571,25103,146049,40619,90263xe">
                <v:path textboxrect="0,0,131445,146050" o:connectlocs="65722,0;0,55785;25103,146049;106341,146049;131444,55785" o:connectangles="247,164,82,82,0"/>
                <v:fill type="gradient" on="t" color2="#FFFFFF" angle="90" focus="100%" focussize="0,0">
                  <o:fill type="gradientUnscaled" v:ext="backwardCompatible"/>
                </v:fill>
                <v:stroke weight="1.25pt" color="#FF0000" joinstyle="miter"/>
                <v:imagedata o:title=""/>
                <o:lock v:ext="edit" aspectratio="f"/>
                <v:textbox>
                  <w:txbxContent>
                    <w:p w14:paraId="42EE65C3">
                      <w:r>
                        <w:drawing>
                          <wp:inline distT="0" distB="0" distL="114300" distR="114300">
                            <wp:extent cx="6350" cy="6985"/>
                            <wp:effectExtent l="0" t="0" r="0" b="0"/>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26"/>
                                    <a:stretch>
                                      <a:fillRect/>
                                    </a:stretch>
                                  </pic:blipFill>
                                  <pic:spPr>
                                    <a:xfrm>
                                      <a:off x="0" y="0"/>
                                      <a:ext cx="6350" cy="6985"/>
                                    </a:xfrm>
                                    <a:prstGeom prst="rect">
                                      <a:avLst/>
                                    </a:prstGeom>
                                    <a:noFill/>
                                    <a:ln>
                                      <a:noFill/>
                                    </a:ln>
                                  </pic:spPr>
                                </pic:pic>
                              </a:graphicData>
                            </a:graphic>
                          </wp:inline>
                        </w:drawing>
                      </w:r>
                    </w:p>
                  </w:txbxContent>
                </v:textbox>
              </v:shape>
            </w:pict>
          </mc:Fallback>
        </mc:AlternateContent>
      </w:r>
      <w:r>
        <w:rPr>
          <w:color w:val="auto"/>
        </w:rPr>
        <mc:AlternateContent>
          <mc:Choice Requires="wps">
            <w:drawing>
              <wp:anchor distT="0" distB="0" distL="114300" distR="114300" simplePos="0" relativeHeight="251671552" behindDoc="0" locked="0" layoutInCell="1" allowOverlap="1">
                <wp:simplePos x="0" y="0"/>
                <wp:positionH relativeFrom="column">
                  <wp:posOffset>3046095</wp:posOffset>
                </wp:positionH>
                <wp:positionV relativeFrom="paragraph">
                  <wp:posOffset>3890010</wp:posOffset>
                </wp:positionV>
                <wp:extent cx="131445" cy="146050"/>
                <wp:effectExtent l="21590" t="29845" r="37465" b="33655"/>
                <wp:wrapNone/>
                <wp:docPr id="36" name="五角星 36"/>
                <wp:cNvGraphicFramePr/>
                <a:graphic xmlns:a="http://schemas.openxmlformats.org/drawingml/2006/main">
                  <a:graphicData uri="http://schemas.microsoft.com/office/word/2010/wordprocessingShape">
                    <wps:wsp>
                      <wps:cNvSpPr/>
                      <wps:spPr>
                        <a:xfrm>
                          <a:off x="0" y="0"/>
                          <a:ext cx="131445" cy="146050"/>
                        </a:xfrm>
                        <a:prstGeom prst="star5">
                          <a:avLst/>
                        </a:prstGeom>
                        <a:gradFill rotWithShape="0">
                          <a:gsLst>
                            <a:gs pos="0">
                              <a:srgbClr val="FFFFFF"/>
                            </a:gs>
                            <a:gs pos="100000">
                              <a:srgbClr val="FFFFFF"/>
                            </a:gs>
                          </a:gsLst>
                          <a:lin ang="0"/>
                          <a:tileRect/>
                        </a:gradFill>
                        <a:ln w="15875" cap="flat" cmpd="sng">
                          <a:solidFill>
                            <a:srgbClr val="FF0000"/>
                          </a:solidFill>
                          <a:prstDash val="solid"/>
                          <a:miter/>
                          <a:headEnd type="none" w="med" len="med"/>
                          <a:tailEnd type="none" w="med" len="med"/>
                        </a:ln>
                      </wps:spPr>
                      <wps:txbx>
                        <w:txbxContent>
                          <w:p w14:paraId="22F34467">
                            <w:r>
                              <w:drawing>
                                <wp:inline distT="0" distB="0" distL="114300" distR="114300">
                                  <wp:extent cx="6350" cy="6985"/>
                                  <wp:effectExtent l="0" t="0" r="0" b="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26"/>
                                          <a:stretch>
                                            <a:fillRect/>
                                          </a:stretch>
                                        </pic:blipFill>
                                        <pic:spPr>
                                          <a:xfrm>
                                            <a:off x="0" y="0"/>
                                            <a:ext cx="6350" cy="6985"/>
                                          </a:xfrm>
                                          <a:prstGeom prst="rect">
                                            <a:avLst/>
                                          </a:prstGeom>
                                          <a:noFill/>
                                          <a:ln>
                                            <a:noFill/>
                                          </a:ln>
                                        </pic:spPr>
                                      </pic:pic>
                                    </a:graphicData>
                                  </a:graphic>
                                </wp:inline>
                              </w:drawing>
                            </w:r>
                          </w:p>
                        </w:txbxContent>
                      </wps:txbx>
                      <wps:bodyPr upright="1"/>
                    </wps:wsp>
                  </a:graphicData>
                </a:graphic>
              </wp:anchor>
            </w:drawing>
          </mc:Choice>
          <mc:Fallback>
            <w:pict>
              <v:shape id="_x0000_s1026" o:spid="_x0000_s1026" style="position:absolute;left:0pt;margin-left:239.85pt;margin-top:306.3pt;height:11.5pt;width:10.35pt;z-index:251671552;mso-width-relative:page;mso-height-relative:page;" fillcolor="#FFFFFF" filled="t" stroked="t" coordsize="131445,146050" o:gfxdata="UEsDBAoAAAAAAIdO4kAAAAAAAAAAAAAAAAAEAAAAZHJzL1BLAwQUAAAACACHTuJA/RtDDdsAAAAL&#10;AQAADwAAAGRycy9kb3ducmV2LnhtbE2PwU7DMAyG70i8Q2Qkbixp2bqtNJ20SYDQTitIXNMmawuN&#10;UyVZN3h6zAmOtj/9/v5ic7EDm4wPvUMJyUwAM9g43WMr4e318W4FLESFWg0OjYQvE2BTXl8VKtfu&#10;jAczVbFlFIIhVxK6GMec89B0xqowc6NBuh2dtyrS6FuuvTpTuB14KkTGreqRPnRqNLvONJ/VyUp4&#10;VtOQbuuXvRf7w+5pm34fq/cPKW9vEvEALJpL/IPhV5/UoSSn2p1QBzZImC/XS0IlZEmaASNiIcQc&#10;WE2b+0UGvCz4/w7lD1BLAwQUAAAACACHTuJAPb8n50ICAAC2BAAADgAAAGRycy9lMm9Eb2MueG1s&#10;rVTNjtMwEL4j8Q6W7zTJbrusoqZ7oJQLghUL4uwmTmLJf/K4TfoaiAM3jrwDz4MQj8HYDt2qSKgH&#10;ckjGnplvZr6ZyfJuVJLsuQNhdEWLWU4J17VphO4q+uH95tktJeCZbpg0mlf0wIHerZ4+WQ625Fem&#10;N7LhjiCIhnKwFe29t2WWQd1zxWBmLNeobI1TzOPRdVnj2IDoSmZXeX6TDcY11pmaA+DtOinphOgu&#10;ATRtK2q+NvVOce0TquOSeSwJemGBrmK2bctr/7ZtgXsiK4qV+vjGIChvwztbLVnZOWZ7UU8psEtS&#10;OKtJMaEx6BFqzTwjOyf+glKidgZM62e1UVkqJDKCVRT5GTcPPbM81oJUgz2SDv8Ptn6zv3dENBW9&#10;vqFEM4Ud//H9869vn35++UrwDgkaLJRo92Dv3XQCFEO1Y+tU+GIdZIykHo6k8tGTGi+L62I+X1BS&#10;o6qY3+SLSHr26Gwd+FfcKBKEiuLsuUXkku1fg8eIaPvHZqK42QgpiTP+o/B9ZCmEjUpAnyQQa5Co&#10;dA2u276QjuwZzsEmPqEyRO7g1LrIwxOR/u0SPadQUmjCwvZM4+SF5O9w8qYAjsV0QxipyYAsLG6f&#10;B0IYbk+LU4uistgB0F2KbKQ4upylEdNLwHBqFghaM+hThVGVZlsJz0PbWNlz1rzUDfEHi03WuNw0&#10;ZKN4Q4nk+C8IUrT0TMhLLJEEqZHFMCBpJILkx+2IMEHcmuaA47WzTnQ99raIpAcNjnOiP61e2JfT&#10;cwR9/N2s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9G0MN2wAAAAsBAAAPAAAAAAAAAAEAIAAA&#10;ACIAAABkcnMvZG93bnJldi54bWxQSwECFAAUAAAACACHTuJAPb8n50ICAAC2BAAADgAAAAAAAAAB&#10;ACAAAAAqAQAAZHJzL2Uyb0RvYy54bWxQSwUGAAAAAAYABgBZAQAA3gUAAAAA&#10;" path="m0,55785l50207,55786,65722,0,81237,55786,131444,55785,90825,90263,106341,146049,65722,111571,25103,146049,40619,90263xe">
                <v:path textboxrect="0,0,131445,146050" o:connectlocs="65722,0;0,55785;25103,146049;106341,146049;131444,55785" o:connectangles="247,164,82,82,0"/>
                <v:fill type="gradient" on="t" color2="#FFFFFF" angle="90" focus="100%" focussize="0,0">
                  <o:fill type="gradientUnscaled" v:ext="backwardCompatible"/>
                </v:fill>
                <v:stroke weight="1.25pt" color="#FF0000" joinstyle="miter"/>
                <v:imagedata o:title=""/>
                <o:lock v:ext="edit" aspectratio="f"/>
                <v:textbox>
                  <w:txbxContent>
                    <w:p w14:paraId="22F34467">
                      <w:r>
                        <w:drawing>
                          <wp:inline distT="0" distB="0" distL="114300" distR="114300">
                            <wp:extent cx="6350" cy="6985"/>
                            <wp:effectExtent l="0" t="0" r="0" b="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26"/>
                                    <a:stretch>
                                      <a:fillRect/>
                                    </a:stretch>
                                  </pic:blipFill>
                                  <pic:spPr>
                                    <a:xfrm>
                                      <a:off x="0" y="0"/>
                                      <a:ext cx="6350" cy="6985"/>
                                    </a:xfrm>
                                    <a:prstGeom prst="rect">
                                      <a:avLst/>
                                    </a:prstGeom>
                                    <a:noFill/>
                                    <a:ln>
                                      <a:noFill/>
                                    </a:ln>
                                  </pic:spPr>
                                </pic:pic>
                              </a:graphicData>
                            </a:graphic>
                          </wp:inline>
                        </w:drawing>
                      </w:r>
                    </w:p>
                  </w:txbxContent>
                </v:textbox>
              </v:shape>
            </w:pict>
          </mc:Fallback>
        </mc:AlternateContent>
      </w:r>
    </w:p>
    <w:p w14:paraId="0E1848FD">
      <w:pPr>
        <w:rPr>
          <w:rFonts w:hint="default"/>
          <w:color w:val="auto"/>
          <w:lang w:val="en-US" w:eastAsia="zh-CN"/>
        </w:rPr>
      </w:pPr>
    </w:p>
    <w:p w14:paraId="56335777">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both"/>
        <w:textAlignment w:val="auto"/>
        <w:outlineLvl w:val="2"/>
        <w:rPr>
          <w:rFonts w:hint="default" w:ascii="宋体" w:hAnsi="宋体" w:eastAsia="宋体" w:cs="宋体"/>
          <w:color w:val="auto"/>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14EB661-8214-4ABC-BDC5-783524082149}"/>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embedRegular r:id="rId2" w:fontKey="{5D1448B4-34AC-4700-BED0-045D09DED0FC}"/>
  </w:font>
  <w:font w:name="仿宋_GB2312">
    <w:altName w:val="仿宋"/>
    <w:panose1 w:val="02010609030101010101"/>
    <w:charset w:val="86"/>
    <w:family w:val="modern"/>
    <w:pitch w:val="default"/>
    <w:sig w:usb0="00000000" w:usb1="00000000" w:usb2="00000000" w:usb3="00000000" w:csb0="00040000" w:csb1="00000000"/>
    <w:embedRegular r:id="rId3" w:fontKey="{A6C65519-077F-4268-BF5C-0693678821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DB86A">
    <w:pPr>
      <w:pStyle w:val="8"/>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DDE6A">
    <w:pPr>
      <w:pStyle w:val="8"/>
      <w:framePr w:wrap="around" w:vAnchor="text" w:hAnchor="margin" w:xAlign="right" w:y="1"/>
      <w:rPr>
        <w:rStyle w:val="18"/>
        <w:rFonts w:hint="eastAsia"/>
      </w:rPr>
    </w:pPr>
    <w:r>
      <w:fldChar w:fldCharType="begin"/>
    </w:r>
    <w:r>
      <w:rPr>
        <w:rStyle w:val="18"/>
      </w:rPr>
      <w:instrText xml:space="preserve">PAGE  </w:instrText>
    </w:r>
    <w:r>
      <w:fldChar w:fldCharType="end"/>
    </w:r>
  </w:p>
  <w:p w14:paraId="37758493">
    <w:pPr>
      <w:pStyle w:val="8"/>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729A">
    <w:pPr>
      <w:pStyle w:val="8"/>
      <w:jc w:val="center"/>
      <w:rPr>
        <w:rFonts w:hint="eastAsia"/>
      </w:rPr>
    </w:pPr>
    <w:r>
      <w:fldChar w:fldCharType="begin"/>
    </w:r>
    <w:r>
      <w:instrText xml:space="preserve"> PAGE   \* MERGEFORMAT </w:instrText>
    </w:r>
    <w:r>
      <w:fldChar w:fldCharType="separate"/>
    </w:r>
    <w:r>
      <w:rPr>
        <w:rFonts w:hint="eastAsia"/>
        <w:lang w:val="zh-CN"/>
      </w:rPr>
      <w:t>52</w:t>
    </w:r>
    <w:r>
      <w:rPr>
        <w:rFonts w:hint="eastAsia"/>
        <w:lang w:val="zh-CN"/>
      </w:rPr>
      <w:fldChar w:fldCharType="end"/>
    </w:r>
  </w:p>
  <w:p w14:paraId="21C5CEBF">
    <w:pPr>
      <w:pStyle w:val="8"/>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4D7FB">
    <w:pPr>
      <w:pStyle w:val="8"/>
      <w:ind w:firstLine="36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E437A">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EEE437A">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CCF8F">
    <w:pPr>
      <w:pStyle w:val="8"/>
      <w:ind w:firstLine="36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9FE6372">
                          <w:pPr>
                            <w:pStyle w:val="8"/>
                            <w:ind w:firstLine="360"/>
                          </w:pPr>
                          <w:r>
                            <w:fldChar w:fldCharType="begin"/>
                          </w:r>
                          <w:r>
                            <w:instrText xml:space="preserve"> PAGE  \* MERGEFORMAT </w:instrText>
                          </w:r>
                          <w:r>
                            <w:fldChar w:fldCharType="separate"/>
                          </w:r>
                          <w:r>
                            <w:t>57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Z9QqvXAQAAswMAAA4AAABkcnMvZTJvRG9jLnhtbK1TS27bMBDd&#10;F+gdCO5rKQbSCILlIIWRokCRFkhzAJoiLQL8gUNb8gXaG3TVTfc9l8/RISU5QbLJIhtpfnwz73G4&#10;uh6MJgcRQDnb0ItFSYmw3LXK7hr68OP2Q0UJRGZbpp0VDT0KoNfr9+9Wva/F0nVOtyIQBLFQ976h&#10;XYy+LgrgnTAMFs4Li0npgmER3bAr2sB6RDe6WJblx6J3ofXBcQGA0c2YpBNieA2gk1JxsXF8b4SN&#10;I2oQmkWkBJ3yQNd5WikFj9+kBBGJbigyjfmLTdDepm+xXrF6F5jvFJ9GYK8Z4Rknw5TFpmeoDYuM&#10;7IN6AWUUDw6cjAvuTDESyYogi4vymTb3HfMic0GpwZ9Fh7eD5XeH74GoFjdhSYllBm/89PvX6c+/&#10;09+fBGMoUO+hxrp7j5Vx+OQGLJ7jgMHEe5DBpD8yIphHeY9necUQCU+HqmVVlZjimJsdxC8ej/sA&#10;8bNwhiSjoQHvL8vKDl8hjqVzSepm3a3SOt+htqRH1Mvq6jKfOKcQXdtULPI6TDiJ0zh7suKwHSai&#10;W9cekWePK9FQiy+AEv3FouJpe2YjzMZ2NvY+qF2X1yv1An+zjzhcnjl1GGGRa3LwLjPrae/Ssjz1&#10;c9XjW1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BGfUKr1wEAALMDAAAOAAAAAAAAAAEA&#10;IAAAACIBAABkcnMvZTJvRG9jLnhtbFBLBQYAAAAABgAGAFkBAABrBQAAAAA=&#10;">
              <v:fill on="f" focussize="0,0"/>
              <v:stroke on="f" weight="1.25pt"/>
              <v:imagedata o:title=""/>
              <o:lock v:ext="edit" aspectratio="f"/>
              <v:textbox inset="0mm,0mm,0mm,0mm" style="mso-fit-shape-to-text:t;">
                <w:txbxContent>
                  <w:p w14:paraId="19FE6372">
                    <w:pPr>
                      <w:pStyle w:val="8"/>
                      <w:ind w:firstLine="360"/>
                    </w:pPr>
                    <w:r>
                      <w:fldChar w:fldCharType="begin"/>
                    </w:r>
                    <w:r>
                      <w:instrText xml:space="preserve"> PAGE  \* MERGEFORMAT </w:instrText>
                    </w:r>
                    <w:r>
                      <w:fldChar w:fldCharType="separate"/>
                    </w:r>
                    <w:r>
                      <w:t>57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DB3F9">
    <w:pPr>
      <w:pStyle w:val="9"/>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60FD3"/>
    <w:rsid w:val="25E146DC"/>
    <w:rsid w:val="27CB240B"/>
    <w:rsid w:val="34B3387E"/>
    <w:rsid w:val="3E160FD3"/>
    <w:rsid w:val="49BF21A8"/>
    <w:rsid w:val="4A4660B6"/>
    <w:rsid w:val="614F0885"/>
    <w:rsid w:val="75AC3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120" w:line="412" w:lineRule="auto"/>
      <w:ind w:firstLine="200" w:firstLineChars="200"/>
      <w:outlineLvl w:val="1"/>
    </w:pPr>
    <w:rPr>
      <w:rFonts w:ascii="Cambria" w:hAnsi="Cambria" w:eastAsia="宋体" w:cs="宋体"/>
      <w:b/>
      <w:bCs/>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51"/>
    </w:pPr>
    <w:rPr>
      <w:rFonts w:ascii="宋体" w:hAnsi="宋体" w:eastAsia="宋体" w:cs="宋体"/>
      <w:sz w:val="32"/>
      <w:szCs w:val="32"/>
      <w:lang w:val="zh-CN" w:eastAsia="zh-CN" w:bidi="zh-CN"/>
    </w:rPr>
  </w:style>
  <w:style w:type="paragraph" w:styleId="6">
    <w:name w:val="List 3"/>
    <w:basedOn w:val="1"/>
    <w:next w:val="1"/>
    <w:qFormat/>
    <w:uiPriority w:val="0"/>
    <w:pPr>
      <w:spacing w:line="288" w:lineRule="auto"/>
      <w:ind w:left="1260" w:hanging="420"/>
    </w:pPr>
    <w:rPr>
      <w:rFonts w:ascii="Calibri" w:hAnsi="Calibri" w:eastAsia="仿宋" w:cs="宋体"/>
    </w:rPr>
  </w:style>
  <w:style w:type="paragraph" w:styleId="7">
    <w:name w:val="Body Text Indent"/>
    <w:basedOn w:val="1"/>
    <w:qFormat/>
    <w:uiPriority w:val="0"/>
    <w:pPr>
      <w:ind w:firstLine="640" w:firstLineChars="200"/>
    </w:pPr>
    <w:rPr>
      <w:rFonts w:eastAsia="方正仿宋_GBK"/>
      <w:kern w:val="0"/>
      <w:sz w:val="32"/>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Subtitle"/>
    <w:basedOn w:val="1"/>
    <w:next w:val="1"/>
    <w:qFormat/>
    <w:uiPriority w:val="11"/>
    <w:pPr>
      <w:ind w:firstLine="0" w:firstLineChars="0"/>
      <w:jc w:val="center"/>
    </w:pPr>
    <w:rPr>
      <w:rFonts w:eastAsia="宋体" w:cs="Times New Roman"/>
      <w:bCs/>
      <w:kern w:val="28"/>
      <w:sz w:val="21"/>
      <w:szCs w:val="32"/>
    </w:rPr>
  </w:style>
  <w:style w:type="paragraph" w:styleId="12">
    <w:name w:val="toc 2"/>
    <w:basedOn w:val="1"/>
    <w:next w:val="1"/>
    <w:qFormat/>
    <w:uiPriority w:val="0"/>
    <w:pPr>
      <w:ind w:left="420" w:leftChars="200"/>
    </w:pPr>
  </w:style>
  <w:style w:type="paragraph" w:styleId="13">
    <w:name w:val="Normal (Web)"/>
    <w:basedOn w:val="1"/>
    <w:qFormat/>
    <w:uiPriority w:val="0"/>
    <w:pPr>
      <w:widowControl/>
      <w:jc w:val="left"/>
    </w:pPr>
    <w:rPr>
      <w:rFonts w:ascii="宋体" w:hAnsi="宋体" w:cs="宋体"/>
      <w:color w:val="000000"/>
      <w:kern w:val="0"/>
      <w:sz w:val="24"/>
    </w:rPr>
  </w:style>
  <w:style w:type="table" w:styleId="15">
    <w:name w:val="Table Grid"/>
    <w:basedOn w:val="1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rPr>
  </w:style>
  <w:style w:type="character" w:styleId="18">
    <w:name w:val="page number"/>
    <w:basedOn w:val="16"/>
    <w:qFormat/>
    <w:uiPriority w:val="0"/>
  </w:style>
  <w:style w:type="paragraph" w:customStyle="1" w:styleId="19">
    <w:name w:val="Default"/>
    <w:next w:val="6"/>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20">
    <w:name w:val="List Paragraph"/>
    <w:basedOn w:val="1"/>
    <w:qFormat/>
    <w:uiPriority w:val="0"/>
    <w:pPr>
      <w:ind w:firstLine="420" w:firstLineChars="200"/>
    </w:pPr>
  </w:style>
  <w:style w:type="paragraph" w:customStyle="1" w:styleId="21">
    <w:name w:val="表格"/>
    <w:basedOn w:val="22"/>
    <w:next w:val="1"/>
    <w:qFormat/>
    <w:uiPriority w:val="0"/>
    <w:pPr>
      <w:adjustRightInd w:val="0"/>
      <w:jc w:val="center"/>
    </w:pPr>
    <w:rPr>
      <w:spacing w:val="10"/>
      <w:kern w:val="0"/>
      <w:sz w:val="20"/>
      <w:szCs w:val="20"/>
    </w:rPr>
  </w:style>
  <w:style w:type="paragraph" w:customStyle="1" w:styleId="22">
    <w:name w:val="文本"/>
    <w:basedOn w:val="1"/>
    <w:qFormat/>
    <w:uiPriority w:val="0"/>
    <w:pPr>
      <w:spacing w:line="360" w:lineRule="auto"/>
      <w:ind w:firstLine="883" w:firstLineChars="200"/>
    </w:pPr>
    <w:rPr>
      <w:rFonts w:ascii="Times New Roman" w:hAnsi="Times New Roman"/>
      <w:sz w:val="24"/>
    </w:rPr>
  </w:style>
  <w:style w:type="paragraph" w:customStyle="1" w:styleId="23">
    <w:name w:val="大纲正文"/>
    <w:basedOn w:val="1"/>
    <w:qFormat/>
    <w:uiPriority w:val="0"/>
    <w:pPr>
      <w:adjustRightInd w:val="0"/>
      <w:snapToGrid w:val="0"/>
      <w:spacing w:line="360" w:lineRule="auto"/>
      <w:ind w:firstLine="200" w:firstLineChars="200"/>
    </w:pPr>
    <w:rPr>
      <w:rFonts w:eastAsia="仿宋_GB2312"/>
      <w:kern w:val="0"/>
      <w:sz w:val="28"/>
      <w:szCs w:val="20"/>
    </w:rPr>
  </w:style>
  <w:style w:type="paragraph" w:customStyle="1" w:styleId="24">
    <w:name w:val="L表内容"/>
    <w:basedOn w:val="1"/>
    <w:qFormat/>
    <w:uiPriority w:val="0"/>
    <w:pPr>
      <w:spacing w:line="0" w:lineRule="atLeast"/>
      <w:jc w:val="center"/>
    </w:pPr>
    <w:rPr>
      <w:szCs w:val="22"/>
    </w:rPr>
  </w:style>
  <w:style w:type="paragraph" w:customStyle="1" w:styleId="25">
    <w:name w:val="_Style 2"/>
    <w:basedOn w:val="1"/>
    <w:qFormat/>
    <w:uiPriority w:val="0"/>
    <w:pPr>
      <w:spacing w:line="360" w:lineRule="auto"/>
      <w:ind w:firstLine="420" w:firstLineChars="200"/>
    </w:pPr>
    <w:rPr>
      <w:szCs w:val="21"/>
    </w:rPr>
  </w:style>
  <w:style w:type="paragraph" w:customStyle="1" w:styleId="26">
    <w:name w:val="表格 123"/>
    <w:basedOn w:val="1"/>
    <w:qFormat/>
    <w:uiPriority w:val="0"/>
    <w:pPr>
      <w:adjustRightInd w:val="0"/>
      <w:snapToGrid w:val="0"/>
      <w:spacing w:line="320" w:lineRule="exact"/>
      <w:ind w:firstLine="0" w:firstLineChars="0"/>
      <w:jc w:val="center"/>
    </w:pPr>
    <w:rPr>
      <w:sz w:val="22"/>
    </w:rPr>
  </w:style>
  <w:style w:type="paragraph" w:customStyle="1" w:styleId="27">
    <w:name w:val="Table Paragraph"/>
    <w:basedOn w:val="1"/>
    <w:qFormat/>
    <w:uiPriority w:val="1"/>
    <w:pPr>
      <w:autoSpaceDE w:val="0"/>
      <w:autoSpaceDN w:val="0"/>
      <w:jc w:val="left"/>
    </w:pPr>
    <w:rPr>
      <w:rFonts w:ascii="方正仿宋_GBK" w:hAnsi="方正仿宋_GBK" w:eastAsia="方正仿宋_GBK" w:cs="方正仿宋_GBK"/>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6.emf"/><Relationship Id="rId25" Type="http://schemas.openxmlformats.org/officeDocument/2006/relationships/image" Target="media/image15.jpeg"/><Relationship Id="rId24" Type="http://schemas.openxmlformats.org/officeDocument/2006/relationships/image" Target="file:///C:\Users\Administrator\AppData\Roaming\Tencent\Users\943309023\QQ\WinTemp\RichOle\V37(97VPS627RW8XTAT4ZND.png" TargetMode="External"/><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TXAwV0Z0Tng5RkR3QUVBQVBBREFBQU1BQUFBWkc5amRXMWxiblF1ZUcxc2haUGZicHN3Rk1idkorMGRMTitUR2tJU2lHQlZSdHF1VXZwSFpXMnZIWHdnVnNDdWpPbGFUWHVRWFV6cXhSNWoydHYwWW04eG0wNUpRNG5HQlJMZjcvTm5jODV4ZFBoUWxlZ2VWTTJsaUxFN0lCaUJ5Q1Rqb29oeG8zTW53SWNmM3IrTDVqSnJLaEFhWGFReHZ1VUNvNXZOSW05QUJpRkd4bkxTY0JianIrRjR1Y3k4OGRpaEV6SnlmSDh5ZE1LY1pVNGVBUFBZMHA4RStmQWJOckhJUERZNmtTTG54VCtoRlZOWk50ckVvNXNZajRpTER6cndqTlpyeThndXViNWpWTU1sTGVDY1ZtQU54N05GZXRSWnZwSmZUaFJuRm4rK3V1NmhWMDBKYWorMnZ3a2xGN0RmWW8vd1VRRmQ5MXN1VkRGcnRGelFSOW5vZmt0Vi9kK3hrTms2ZVNuU1czeGFDS2xnRG5raWRLb2Z5MzNsMlBpT3BkQjdQRWNsWkZyeGpKYUprblc5aWR1V1B6cm85akZLdFJrbFh0WTd0WG5SMENYVkt6TTZmcWR5TzlSL0ZkN0ppbWFaNXZkdG8wOEZnNGZPV2F4ZVcyMDdPTkg4am5lVU5GTUE0cFl6dldwSjZKRXUvQVM4V0xWRmNVbndlb09TNmx5cXloSUc5WHBMRXROMERXeHVYaFo2eEJzNUxuRThndHpSbElSVDRuVzhzaDIwNTE5UGYzNS9mLzd4YzB2UHpDM01lVStVajF4L09neW1udnZHM0pQVk5xYTl1K2JqTDFCTEF3UVVBQUFBQ0FES2RGaGI2c08zdlRnTUFBQkpqZ0FBRHdBQUFIQmhaMlZ6TDNCaFoyVXhMbmh0Yk8xZDYyL2J5QkgvWHFEL0E2SDdrclN4UkZMVXc0RGNnL3lRejRXdHFKYnMyUDFHUzdUTUMwVUtGTzJMK3lsM0tlNWEzTE9vaStKNmFZRWNHalJ0MGViYXUvU0M5SzUvaldYSC8wWDNRUzVmUzRxVUxUL1hBUktSTTdzek83czc4OXVadFZKNTgwRlA0L1lVYzZBYStreEd5UElaVHRIYlJrZlZ1ek9adFZadHFweDU4eWMvL0VHbElYY1ZibWtlc1BDQXBiWGZWMll5OEYyR3E4czk4UG5reVlzcEljUDkzREI2Z0NmRHJlbXFOWlBwOVRKY3cxUWFjbDh4WnpLQUFYVEZnUi9VWGNNMCtnUDdCWHA1VCsxWU85dzZhQytJWXJZZ1puSmU2bHVLMnQyeElMazBuYytXZU1GUGhnSkpCNkxBaDZsdUIrSjB5VStHNnN5YWludy9YZ1hDTmtLWGhtRmFwcXdpaGxwMXVibmdKMWQzTGFPcC9rS0I1TmJxMmtLRWtHVmxHL1hBUjlCYlJqK092T3FvR0ZUT1laZzFMTXZvVVRpYWJkUFF0QTNVZWJaUUtoUkVLc01tWnBEOHRFVlQ3Y3dxWFZYZm9DaEhpSnNVNGwyek82K2FTdHNDUzlHdlZTVVhYQytWWlhuZjJMVzh6WCs2Mit1dkdCMkZNaUJJYWxyN21rS1JpbWoyWkJUOXBQcHViMnRaMlZNMFNyTmViMFYrMnpEUmFncVRWQjJUZ3NzUURIRmRNZWZWZ1VWckNLaHZHU09vMWNFQUVzdUJ2ZEZ2dG1VOHZBSWZKSUVOMkFaOTJsYmxzeUVHSUpGWWp2Y1kzV2RqS0wrbUtsb0hjbXZ5UHRmY01kNXA3QmlXNGF4eHJvNVdOWGxFeElZeGdKMXlhR01CZzRCUmNYajNBSFB6TnRPeXFpc09ZMHQ1WUFFYldTb1lrTk5Wd0F4SURTVGYzai9ZTVRtdWFQaVgzdzQvK3hnL3JjMWs0RDhacnFiSlhkeS9hbWtLcFdQVSticXM3U0l6QUFjMmsybTJWbjJtUWl3MVE3ZTRtdHhUdGYyWnpJb0tkc0xBQVB0MFV3YWp5bkRZQUdEYXVUbERNNERQZTBOQ1AzNlQ1NXhCSkJxWVNBYjI1MjllUHprZ0EwTWp1ZElqSzVMbzhlalp5ZStma1pITkszM1p0SHFLYmwzQjRkbXJINDZ2NUl4dm9TZXJHaG1lL1hTVlIxWW1hL0xicDRmZlB6NCtlUEg2K1IvSkFPK0JYYTFmOXFYcHZyQTlXdERSRFlnbnJLbWFWalBNbm16WnlLY09oMGZJczRzMTAraTFkcFJlSVBoVUdxYXFXMDNGMnUxek5SVkUyK2FPb2xqRWtEWlk0bDMzQ0hFTGNZOFFwWGh3RklRREs3SUpnaWNlSzRydjNoY0FEM2dmY1hqM3ZDRmFBYjhPQUovWE51aU5QYU92SDMxMDlQbHo0bE9YOUQxMW9HNjUwOGN0RyszN3ppNUdBM1FlcWlCMDc3bDhzM0w3ZnRjMGR2V093OURVNVQ0TjhuakZELy8xSGdTU3R1T0xrdTZFR0pwNC9PU1Zibk5UeEtNZzV4cWpnaWNSQ3MrN3p1bmhINDRQbnZtQ0VHSkRpdzBGNDd4L09JaTZzTDBOb0F3azU0c1VNZ3h6aUVpaHpSbTZEdHJpemd1U1IxbEVkcDVXVmx4dEpiZ2daRlhmZ3Z1VWR6UmZWeTFaVTYzOUdOMmxVcXp1RWgrak81WFkzQUZnUDBDdDVHeGRuV2ZNaFBjUyttd3ZOd0NrT1RRaEpPb0Jqd0J3WDFzWkRKeEJIYjE0OS9qWmgvNGhtYkkrMkFZYk5PZzMzQU5CU1FwN0ZRK0tMNFNwVmIxTEE0eUl0dGl3OFcyaEpOS3BDT0RtUzZVc3BXZXdoSjMyUWg3czhWV0VzelBjU2hDNGVyanQvaUNiaDUwaXZLYXBmUXIwSmpRYThzN1JERmhCMEhkZXR1U1FSdXJXVWdkTk1VVUU4SVFSZExEWEtEMVc1aG9HMk1TRFlFZjR0VDNuRFVzZ0RnbXZHajRZUmxDamlJRWpXbUlMNXJEb0VRcUp4RWVOVkdqMEpMc0tVbVl0bVQ1NXJFOCtnVDV3TTBCOWhKSGFuSjI1Skt5ZWRNYm1LaFU4STBta25QUEtGLzlXMUVFNzJQVHUxdHZBQ1VKdGtjMENTem5Rb3JLd3AxQVdNWG83YnpvSGRhNFczbnFoaHRnNTJuRGpaN3RxKy82S1BBQWhyeUNFa0ZNSWx6UU5UZTFRTFVzYy9odmI5Zy9GV0c1LzRTMnZLMVFLb2Q1VDZQa0dIOU9jakN3QmNLRVZ6ZFNRTFVzeGRYdS9VOWxRRHFGcW1zWTdpSXQzTUdEWUllRnAwRHZKbWRGUWdTRkdtVFJrVmhDOXloTGNmeVRBZ2trRHduYmtEdWhuR2tab1pSdUNVNkZRYUJmcHduT085TkRjUk01QUJVZnI2Tm1CQ29DeHd4TSszYjlFZEZESmVWYWlMOXlDK0I5YTZnZ1UrTTdoTGZCcDRZR2w2QjFITkUyN3FOaE5HSHd4ZkpUYlFpMThjVDNPUFpBV01iR2U4Q3dtajltK05ra2RLV2tVaEFmQWFVRGpabHRDRnRuaVJ6d0ZWQVJhZTRSNm1tUER4TGR2UGJEd21TL3VRSVk0cWFqQjdRZkluTlVBV09mV3E1cmFCVWVRT2VEb0ZCTm5lUENpd281TkxBQ28zWkszbXBZQjRIbVp1a3hRbDc3Tk5nMy9SQTlqYmtjMjVUYVF4eTF0WU5jNzR2UW91YWZIVVgwM1FOZGRVKzd2T0gwMyszQjMya2M1ZTdRdzRPbWRtbW9PTE1RREh1QUp6dm04aXM5NHFMSGNWbVlWWUVmRmZhNXVXeEFFeHl4SGZMQWJjTGhUeVQ0UDRnZ0w3U2c1SjhBb1IwZG1LWUtHNlAwKzE4QmpuTnVJMk1FK2ZxdnZNQTYvZXpqODlrL0RqMTRkdmZ6cjBkZS9Qdm5kQjRjdkh4LzkrMnY4ZVBpL0w0NisrdWI0NzUrRHY0OWVmVFo4L0ZVbFovWGpOTW4xbzhoZ0lkSkhnUWxvRVlaOFhxQUpmdUVMdzR1SzBWTXNVMVZDcnM2bTdOTkUxZzBVTzZKaGFCMWxPMk1ZNWpSam9IUmlBbW5kZ09tWVdCSHdwQnZUdzRxeHA3U01LSE1teG9pSU93a01RNHk1U0trbzVKNnBQaEdHeVVVS1NxSkN6R2E4T0tHSkxIOHFEU2F3RXFoU0t6bkt2aUl2M1cxb3d4SmFLc0ZPbk1EdW5ZUkNnWkpROExGaHJPSjk1VHVjR2pyOWVPcVd1R0FLQUFiWjZscnI3dXpDNGxLOVVXL2RRdVNXM0wwRG9DZjQ1M1lZZGJsbHNMekVqOU1CSUlUa0w5VG5FemRHc29YeWRLckc0UFJFc1VpQ0JBd2VJdFI1Q3BzdUxoMHpKWUREanMyL2lmazNZeE0wa0hkeHJibzZmNHVuRE5hWHJZR3NlSXdiUDRicTNLYkNJUmU1aVVYSlJsRzQxU1pzdFJuUnlnUGQrQlI1bmFsU0lWVml4eDB1eW14U2h1eko5SXhtZG1iYzVVZWJDcHhuc2h0b1pxbnJ4MjRnZUJ0SXRBWVI2U1Y0Z3ZaWGxlbm5YcUVvbGZPamo3NitsTHhyNUJUblZqRmJCRDhsdXM4Nmo5TnJuczd1TzcxS0k1akhQNzFpME9zN3ZjTGtGa3F3Qzg3WmxlZmpvdHhsUDdpZUZ0SkZBckxFa0M0YXNVMGUwbzJMWDA2RjIwWUpSYTUrQWlnQnZTYUZGSHlUQWF4aERYMGdOZWl1RGs1ZDhBYUlXeU9DMTBTOC9qY0didmdxRjlLMXFseUFXYmxCbFF0V21XQ1ZDVmFaWUpVSlZwbGdsUWxQTzFhWkNEUzZhWlVKbnRVbHJsMWQ0dVNEajRldjNoKytmSThVS0U2K2VQL3c1VCtHMzMxNjh2U2Z4d2ZQU0VYaStHL3ZEai85emZFbno0ZGZQanA4OWVIaGYvOHpmSFZ3OVBEcHlaZS9QSHJ5SzFhdnNCbFl2ZUwwK3JCNnhkbHBjSVhxRmI0RVFuRlNDWVFpNVNEdkFwRWlCWGNsU2lDSVVpRStjVTVMTVBnUWhCaEFIaU5TQ1B6bFRTQmdFWmY4NnVOSSswMGd2VEI2aWwwRnp5WEJVQ3drVFRDY2tibFNwUmZTbUt2SXN3UURTekN3Qk1PTlNEQWtjRnVvaFMrdVR5TEJrTXhEa1ZiSlhDbHBFb1lINDZjWStDdVFZR0JYSDI5R2lvSGNnV1E1QmU0SzVSU1NldDBrZUF3eG5qS25rRXFmbTVOVFNHVDUwK1VVem40bG5PTWR5UExFNzBDS1V1RjBkeUJGYWF4TGxNNGRTSy84TWU1QXBydEFlVTUzSUl2OEpLNUFPcFpLZFFWU0VDZDlBVEpWY3VlOHJqOFdFMXgvOURVb3NldVA3UHJqNVQyOHN1dVA0MENYeVY1L3BLVGZzZGlyZGZ1eGRNMktGMExoNWhRdldIR0NGU2RZY1lJVkoxaHhnaFVuUE8xWWNTTFE1S1lWSjlqdHgrdFhtaUFWQ1ZhSTROSWRYVmtoWWx4OVdDSGk3RFM0Mm9XSTZYUDdNb1pHdmJWeEMwUUVFTnF5eTNmbllFNmYvRTU3bzdycWU3YlBIZGtOOFU3bzNhWjQrM2FpTDI4QVBXNU9VS0JUNk1pWHlpUEdWd3lJSzdyaThuZEM3emJ6VWVMSUhjNzQwWjFXM05qRmxDbGhXa3BYVHlsUG9wNGlsZExYVS9Md3JtL3Flc3JVZEpwZnVKM0tTNWV3b3BMa0N5VkdsMkJZUlNYQXhpb3E5c0JZUllYMGNITXJLdVUwUUNlcFdCUnV6bFR5WmFybGtLT1pqZFFFMnZkd3J3SUZaQmdnSFp6bXZrZ1h1cVd3Uy9RRWFva1MySko5bzBVK0gzK05RYVRJOVFSWU1aK3FwQ1B5NS9tVkZvbURtMUE0ajlCMnZYTEpkSHRjcGtCelFhbGRxWlEyc3lzSkU4anNKdGladmtaSjl5ZHBGUElDWTJkMnNkUkxuOXRsRjgrdlkzYjM5Wk9EbzArZXN1U3R6WEE1a3JjWGdwS1RPdTdKNVVwVGFaQWdha3c0ZFh2eEdremtJbGdhekM5ZVFjd3ZpYU5TYmFQU2FnejFNOVR2WldLb242Ritodm9aNm5lVllLaWZvWDQvQTBQOVo2TEJ4V1B1aTlmZ3dsRi8vZ3FpZnJFY0xsYjZmMTJSSVg2RytCbmlaNGcvMElnaGZvYjRHZUpuaUovQ3dCQS9RL3pub3NGNUlINzd1aER0Q2hFSHY2WVVNYy9nL3g0UFBnT3ZDeS9saWZnSll3em82d2dmOG55WUMvNG1uV0d6NU5JSm1JN3NYeGkzLzNMQ0FaVE9SRUQwQUlyajlqK2Qya0FDTDdvUzRLODhweFFTWTZXaVYwcmVLOFU5Y0tFYjI4N3FxdVFhY2hjdXUvOERVRXNEQkJRQUFBQUlBTXAwV0ZzazhOdjRPZ0FBQURvQUFBQU9BQUFBY21Wc2N5OWZjbVZzY3k1NGJXeXpzYS9JelZFb1N5MHF6c3pQczFVeTFETlFVa2pOUzg1UHljeEx0MVVxTFVuVHRWQ3l0K1Bsc2dsS3pVa3NBYW9wenNnc0tOWUhpZ0FBVUVzREJCUUFBQUFJQU1wMFdGc2s4TnY0T2dBQUFEb0FBQUFUQUFBQWNtVnNjeTl3WVdkbE1WOXlaV3h6TG5odGJMT3hyOGpOVVNoTExTck96TSt6VlRMVU0xQlNTTTFMemsvSnpFdTNWU290U2RPMVVMSzM0K1d5Q1VyTlNTd0JxaW5PeUN3bzFnZUtBQUJRU3dNRUZBQUFBQWdBeW5SWVc2NlhPbkcxQXdBQVl4OEFBQWtBQUFCMGFHVnRaUzU0Yld6dFdjMXUwMEFRdmlQeERxdnR1VTBjeDNZc3hWUnRhVVNsQnBVbTR1ZG83SFZpMVZsSGprdGJUbHg0QUNUVUE5d1FCeTRVRHR3UXZFMHBlUXYyejBrY3I2MFdCZEpXM3Iyc3h6T3pzL1BOak8xeGMvMTRFSUFYS0JyNUliYWdzbGFGQUdFbmRIM2NzK0JoN0swMjRQcTl1M2VhM1Q0YW9CRlpBVEw0Rlhob0Q1QUZ4Ni9lWGJ6OUJNSE9mUXVxT2hRc1U3YXRNQWdqd2Z2cjlPdjR3eWtFbmI3dGhrY1dYS2twVlRhNGVFT2RGV2NxbUhUSFlmdHRPQTdDc1VMRVBLK09YTVBSb0tBWmpHYVlwdUo1Q2EzT2FJU0tERE9oMWJpc2JyZ2VTbWlhNEhNY1RVMW9PcU0xWEtjNjFhZHlXVVhUSEQyaE5iZ3NNbDNGZ0pYTDJ1NTVla05YMDdhbjk2OUw3T1MyVjZ1cWFicHAyOU0yNlpKenF4S2ZOV1o5Tm10N3N6TEZMWVBtTmptdEV3czRNVG9DaktySTRHZENCT2toYW9YUndJN0JvMFBmT1dqYm93TUxyaXJ6bkl5NzVRZUJZTzZlRE1rT25URHdYUm5yMU1IZ3NUZ3dIUkJNYlNmaG5NR0VuMis2amV6MnJvOVI3dDBKeHhQazkvb3gzVnhaMDhuSTRwOWkzN0tIbExjVjJIRXg0NTRkeHlqQ3pKOXkreG5ySnVyNWVDT0t3aVBROFY4U1Q5VTVCTlY4a1czc1hrMkFPWUs0NmpKWU1BR094ejd5Q0NJbUcxQ2dvN09aUmtmamRZQm8xZ3FNcUNSV1NKRXN4S3JKZzdVWVMxNktRRHVraHNqdGFGWUtGRFVyTXlHK2hPaVhlUnV4bWZGMjE4Y3hLYko1aDF4d1ZwVDVrS3BQQ1VKcFRNcXd2MlZocjVaaHYyQ0VtTW95SGE3d0RsU1dkN0RrT0ZkcmRPYTk3cGhsb0lORjFuMFgwWmxUVmZUL1UvZHJheW9kWlZZVTRLUVpkT1psaFZGbUJWaGtWdFFOT3ZPOFhYNEZDSkZsSnNSZlFjUjAzdWlFYUlVNG51OHV6WG1MKzBjeDZaVHZmcFA0aXQ3TEZyZ3ZTVjZKWjBVN2o0TWw2YzVpVE9pVERpM3Y1bDZjZlQ3LytBMkl0cDVXbDdSbGhSaHZiOTZHVXFGZXRWUUlnZm8vS2hXc0s1N0NPMVVuYXNrTFRzRVpyMytWeUkralNSZGFNR1FpdDR1T2t6NzArYyt6M3orK2pOKy9IbjkvSXpyUnhIVWJnZC9ERnR4Q21NUUQ4WmI5dkJPSFExWlhBUlhtSnZHSGNWWCs0MEg0WC95anlEYjQrM1prTzBRN0VLQ3NKRjFvSGlFSy9hL3hsR29ITFh2Z0J5Y1diUHRPRkk1Q0x3YlA3QWZJeityY0l5cDdrVDNzZ3gzc3R2eG9GRE41Y3JGUE00VmRkSVlVTzZxZjM5bEZudURpbTRtVFp5T3oyYllqRXZZanNCbkdjVGhnanp1aGxxeTRHckxvVWpkSnBHbDU0VUR0anFSQk0yVUFiRG54QWtuYkh2Y0RJWFBRNWoxeG1RL2NIQ0I0dkV3M0wwMHJUYnQrcGltSmFjcTFNKzBhZTIzWnBzM2VTbGM5OFlTaWp4SkJGUlJ5SlZiMGgva2ZVRXNEQkJRQUFBQUlBTXAwV0Z2bWFlUHhLeFFBQUR3V0FBQU9BQUFBZEdoMWJXSnVZV2xzTG1wd1pXZkZWM2RVazltMi8yaFNGQkZwZ2dPNW95Sk54QUVwSWhJRkFRbENESjBnWkJDVkpqQ1VRRlFtdVRJMHBXUUVBUUVoS2dZTUxZTVFvZ2hFQ0VWRVFFcUlSaVVFRktSRUU0SDREYVM4K01xOTc0OTVhNzMxN2gvdmZHdXZzNzU5OXRybi9QWTV1MGxlUzJhQUhUQlhkMWRBUmtZRytGbjZBWkszZ1BQM3YzOXBmRmZ5citxUWtUd0QxSldBYUtCRVRtWVBJS3N1STZjdUkra0ZJQUFnby9BZkFzQi9EaGxaT1htRkxZcEt5aXBicFFLVUhZQ3NqSnljckx5Y2dvSzh2SFQxVitrNklLK3VzUFBIbjA1czBVQ0VLZTVKMExTOGR2T2UwbDZuNW00dDd6SGVQcXR6aWVuS0t0bzZ1M1QxRFBjYkdadVlIcmEyc2JVN1l1OTgwc1hWN1pRN3pNZlh6ejhnTUFnWmZ2N0N4WWpJcU9pa1pIUktLdWJ5bGQ4eU1yT3ljNjdmS0N5NlZWeFNlcnVzL0g3MUEySk43VU5TM2FPV1Zrb2I5ZkdUOWg1NmIxLy93UFBCRitNVGs0d3A1dXMzTE03czNJZVA4d3VmRnBmNFgxZlgxZ1hmd0Q4M3Z1T1NBZVQrQWYwdmNhbExjY25LeTh2SkszN0hKU09iK2wxQVhWN2h4NSsyN0R5QlVBeEwwTmhqZVUxSjArbm12ZVp1NWIxVzNqeXRjNGxqS3RyN0RuTU0rZCtoL1R1eS94Mnc5UDhUc244QSt5Y3VGckJOVGtaNmVYTHFBQlFRaTQzdjN3RCtTVjNCSUdFelFkd0hsZThJZjVoMkZCemQvRms4aEZQcStsdlVvY0NRNks0dDB0WGp3djA4dGJ6a29Wai9GL3B1SG84bkhheG1hZHFMOW93N2VpV0VwSGhjbVBWd1hzSjBFRnlWOGRSZG5yUTNDcGFQL1BxaEdrYU1JcjZjZyswa0hmUWRqeTlSZnJwL3ZMTXhwZFRYeUxndjFCc1JRSG5yanFLd2ZaWmdaaHdhZUhsQnFCRWdMdFRkVkpVQXMwRkNlUWt3TDhiL0piY2Qyc0tYQUd0eWVSS2dKNW90ekM3ZmZDNW9wUzE4aEFxM1F4Zm11MVkvLzQvNmFpa1NJTDBNMTIxTGJvcGRhYUROM0NVMGEzMzgrSUhIWWlHUllnWmI1dlBCdUthNGZZRjNxZFIwQzRPT2xsR0hwcHZPMjA2TnUrODEzZE55U0FFWE1TY0JQbTNWa1FBWkROcWZhdGJmc2lsRUNRQTFrUUF6Q2RMWitoc2hic3hGNjNta0pzSUYrQy9TNHVzSU5WOHN6UStJbFRzbGdJSjg1NlBIVlNOZlJ3VjdSUFZOalFlNUZ3dW41NmZtMlROUS9JWDAyV2xNbVdFNnh2QmtpZTU5ZE9FUnJSRGRvQk9RdUNuL3pydWZzQ2F2MWduYk1BVFg4UTQzRGxsOUVWbncyeXhFTFlhRnJpTGZXMllaa0NOc0NQV1JySkdpaDg0SllYVlJTR0ptWDE5QmRTMHFlRFRpYW9UREZQUFEwTGFtL0RhOXVuczU5MElHS2hHTnNQcDg3a3ZTaUZYQ1U4K0Q1eHRUcWpZMURJZDEzZUlpS1RpLzhLOXl2ZXcvY0N1TDk5NTlHcTdCZFJ2Z1pnalR4cS9JUk10bzFtZjhKaFE3eW8vV3N5NmVUTEVNbE9mRmtYamZ2S2JRWnE5L1FMR2l6NWd6eXVtRy9ZVEUwOXFDOXQ5RGsranNab3RubmZHOVNFYStCQkNxQndoVWVleHNydEJ6TytIK0VoVW5DNzI0ekhXU1h1RFh4anN0bUtxcnloMGExWUZPYmMzVEo4ZWk0QTNPWk5USnIzOXUyQlRWTDE1aFpxOUpnRllKd0htTjQzbWlOdHdJSzdZU0lLZU1weUVCYnF0QS81SzdGcDZma013YXNjcGVtZkN2MUVzVTVMNEpXM1JGeDk1MmdUV0U2RTdHcVZUcWVuVzZyV2o0dnR1RGdMT3NzK2crYUVPdjBMbjI5QnV3WDJyMVdxTWYrdFIzUFBFbUtic2V6RWNpRW44VGNua0JLOWRuM2dmMzB0UlgwdUFTUUg2cjZOcGE0MWE2NCs2SnVEU2Q1R2xaVVZIeVlGclU3QlB6MmdyRTJDeE4rajdVUXFsdEUzbnNjT3FqU1RhOHdPNzJrdWZEMWkwVFhwNHhIb0dpMzd2VXFOZUZKZzh3cVdLbFh6ZTNxZTZVQVBUU0Rlb05CK2Q2N0Npa1pmTG1Zc0JHR25QLzF0MUhBNFZhdFlkTDdTZnQwUjhRVVVXbm1PMCswNUhmM1BkMzZyTllneHpJbyt3VjZLWXBDT2VnOEpjNnJLWEhxaGFWMFNJOUFxRlJlTkQ0WUZuNEhQNkh0SU9nKzJ5c2Q1OVlIOHRHdFk3MlFMSUoyeHZqaGVnWkNhQzFuSHNQRThDaDBjbEtpelp0emUranJyZ1dSNmpldXJtN1l0akR1d3JDaUZmR2RWdERaeW8zQmpJN2p0U0JlTEZ5eTZZYUpyNVhyK1E2a1IwVENpa1MrSWdJY2VmSDBCNzFkaGU3eGo5VXZYM0d0UG5hbVQ4MEdNZFY3ZXQxcVQ1cVZIejhacVdEYnhWRXpic20vZzQwM0JUYThTRlQ1WGEyVncxVXpjOWorNnJOZ281M2R1dkRCZGN6bVJZclM0TXZxaXp6WVUyK0VZb21Md3IwNERzVzdCS05YeFR2K2pxek84UFhHSGxyWi82VlpLMG8wVG0vNkRtaVhyRzJkaTc5TWtxNGswNVBtVmFGdjZYMmxFRGtoSkROdzR2dFVHNHh4K1FBVmpZTk90NWhkaGUwNE9DRit5QTgrT2hydDc0clZmbjNJcXVVVGdrTmEvUjl6akxYVVpyTENaOXV1cWl5cjNlY2FGeEtyV00xcmd2eGZVSXowSjMvcFkvZHh1VHk1OWhaVU1pNldyYWpDby9LSmN4VVFMU0YxckhhOUlCWEhWRkpGa0tOZUlIYzR3SXhOODc4TkQvVXVMeG5TcmxRWU55SUhkSi8yY1lVREY1OUVNMnVsUURLV09VMFhWQ0JFK1dneWpQalFPaVE5QzdsQ3IrblRDSVAxNE1Dd0FET1FDYVJhYTBVYTA1ZUwzT0F6bkNOWE1kUmZwM1VQNXJUdnlCaW5DOG5xUlkvOERtOUdLOVNtd1hPQ1hSQXVUbDJqb0V0U0xoNmVkTVpoUFpKZ0ozb2tMMG8vZ2ZhRnRvbDlsdklqR0oyaDkrcy90YnVMaDN3YWcybUtKQUhmVGFLaDI0WHFpZk5udXBRbnlFb1lVSnhPeURibTFwdzFaaUlreTJURmszVkU3RW5MelA2d3BydDdvUkVqMURzcHVqanRURGZSZGVHWW1TTXFxSTNVZTl4VGsvQ0hSTy9Va01rWlRJYTlvT1kwZmZ5VEI1cElzTTN6RmJYMVhQdzhlUEhvNnorNUFVdlphbFlXTU5lQmVQVmJxTHlDelZPcC9PY0c5Y0lkMThZbkV0UGhWQklmTzNNMlZGMWF0WjZNWGlVYyt5aWVmeUp2TVhwUGErNFFvdVp6V1BIRHFMZ2J0cXM1STJsTnlHTHFWZXd0QXZhbFExTG9ic1phNTFoYWN2UGFIb1M0QkplWFlpWnVPanBJZWllNk5MN0pBRzJKZFBVbDhyM1lJZFkvbVNPeUtOM1N2dzNma1EyQmE1MnNIbFc1T3pPZ0hKK3BPVjZqSDg1R0d1eDM5TmV1NTFCSER2SXNROXBYMlFIQ01ORXBSSWduUHozTGgwcW45QUh6WlVBVkl1c0R1dWtlcGY3TmZlaE0wUWN6K2Q5VU5kNzg2enFPbmx0UFZzdUFrYzZUUW9ub3Q2ZmpyMjBjQ2o0N1hDU0piSFZ5aE15dUFGZm1lTWx6ZUs0K0Uyek4wSkxVYlUwR2R4VjQyMmRMVjBoYnA1UE84MTAyQTZkdVM5Vi94S1pldDBoaWdlZFUxeTV4dnZXZyt5YmJxd1h2MkpDZHJTbU5yZUFxM09adFBIRE5LMG9HNTJBOG9qc3QyY20vSVBOdmFZbGdJbzYzZGpuVHNLdU1yb3lBdEhvZmVUU0JlVXBUSnBIc2VubnBoaGt4YTE3NVFjOFllNHUzU0tZTDBQRkcwRmkyRE00RnBkNFlHUi9lNlpwWEN6RmVLTFhwOWU3MXJNOUlkL2RKZXluWCtxSXVvT3Y3dXlOOWlVWituTnAvYU9zRkhHSUFmc0UzNEpybnJZQjcxWFQrdHpKRU85YXZQbXNaTXBXZTNwZnAvMVNVRzVDVTVSMmxWNHJ3OGVaWXRPZW5abFpRK1RjNmdnNXVPQmJ1SHA2WGdMRWpNcGhHVmhwL0VsSFlLY0lHdFp3bHNlQXZXTmxIWFpBR3JiZGNvVXVNeFk1RU9WV3o5MjlHNlBYcEtIOEduUW5oeUUwSkhmWEJlTWl3WWd6Zk5XaWh0RlVJaXZRNFpGMVYzT01RZkcydGl1dWxSdEhKY0QyVlZCWkFqaExBTzZnQk1oMWtPNVFqRnNMa2laRWFheWJGTjN1Q0xpMzdLak5UNkZ1L293WjZNRWFqbFAwNVhyRjZueThVRE5KckxKM2xxMkVxYWV6aHUrd1VpZ2NtaFltb0JkRnNhbmxTQUFOVFB6WmliaTQ1T0VrK3NibmlvZlN2Rm1HUnRjc3BkaW1CRmgxRzdudXJBbk9KRHRSMndaOEJidFd0QzB0cXpUVTlBb0QvZEtMWVdqR3Rnc3F1L0FOekc2blJqZHYvSjdjWXVNSldOZEJUQUd5aWVMWEVCVXkxamYrOEQzc0VWcmIzRCtUYU5LUFBoSTUzbWc4bGxkcmNjRzQzemZFV0x5eU9YL0RtR3c4K2Q5TEw3TlpDOUNrbURHTUYycGNGYXNvWDcyUWNLenlJMkhGWlRNZ0JCbkNHamJzSEc0Y3BqM0RHUXdwOUhYd0xUM2tlYkRyQjZ4T0x1OUxORzIzZkpUdStMNmg4ZXFKVjBJZnFTVjI4UjN6aVJnOFBYU3YxQkNLdlk0R3pOYmxZeWhuWnV1eDBKRllxUDhZcGRMb1ROWXMzWGVjNHJFMU4xZmZ6YXVMV2pVaUdMbmMyQlJXb2h1eSs1SzFuN082MDFPOGZUV3lPR0QzMnpLZk94Zm5Vc3JQRGlLNXh3VDdQY290Qzk2TlJZdnJCbVp0TTZBek9WQ2dBeHFsVUZETEd4QWNtWkthTklPMWl1cDRPZ2tOWTcrSlA4TTR6MXVmb3RRdTdjQ2tqSDllNWV4MWlZMEtpNGd3THdvZWlrVUxQdHc1RVpONlA4aVJGTitRTmx5UHBVdUFSK0w4V1JwTGRtcElyRHc4TSt3TTQ2a1ZwT25QaVBUTXlLQVJmR1d4RGpRS29uakVxMDZEMlgxVld2dzdvYXE4Z2V0eERnYm8zVnh2ejRDZzF0Ykg1VU4wbTREVnBqSkJERjR0TkVUY0xVMm5mMGk5c0p5MmhvZStqcGNBNmxZelJoTGdrQ2J1TDlsYW4zejY3YjBmY0NybUZ4SDN2SXJ0WGhRUk9qMjBTcy90OVNZN1JqTXUyMk4wT1IrV1NQQlNEZTlmU0o1UFRGNHlIUXpWNnNQQ2RjOXBYWFkxU1h6am9lN3Z5N2xpUHA3UnZDc3o2S3JKaVQ3dmZLWEVWMFUxdEVxMnVyaFhBbXhkbzRMREhMZ3E5amxVZVh4ZTlhZ1hpQ2RpT3FFelphZ1dmTTZQdks1ODBrQU4reDBJT1RtQmpwY0Ywd1dDbGQyNXFUeFJobTNxbFR3QmRsOHI1VEgvWWlPYWlJdFlnajZZMXBTNmdJbDRkRU5jd1dHcng2Q1VKTUI1VlhNS0tsdm5qNUJQVk1JZmtCVnVUVWhVbFFremViZE1kWXhWNUM5Z3NPZVRDYlRhMXVtZkNuOVZER0pZVCsxY25COEk3SnhDcThJRHA0aWJxMkw5Yktrck1TVEFnOHRpT2c2OFRwQ0Ivdm4zNnIvazFoVllhaTZhK3JaYyt1eHd3N1RZSGVsM3R6TXpXc3R3K0llZVNsdnYrdzFMUi9xTDdmb2I3ZjNDbENZekRCVU1UV0QxZ1duV2RsUG95bFBlU2VraUlRbDJQKy9XRCt2SnBUUnZQN09IckIyTlhxV0hEZjhrYnlxQnRvTG5vbUxIL2JqdTQxaVpOQUJVM2RRRjUyYXk2VFFXNFpraWpJa2V6VFBZSjhwYjh6VHJuN1lVNWRIT2Y5SENFT2hZTmRDRFZ5RUlFZDEzTUsrTmRCMEs0UkZ5NG12YjhOM04wUVoyZk5TTmRhV2lrS2VUWkFoY1pFQUZwWUZlWWMvVDFhN0JUVk5zankzcVlpVTN6bkZVeXRNQytiWnZQbGY3UnBuWGZKVytpOXVlSCtGNnovTjRnMjB1QVU0djVMWnQyaEEyOTJOSERINEFuWnVFVzhDcnZCak9RZzhrQTJ2SU9NZTBKc3VtNmZCS3J2R0s2RlJXKy9TaURoV1oxNDc2KzJHdWJPOTBOTzAxTXFTa0pUSDI1VVpUMmFWeTlGb1JVbVlIT01GWjZHZkxZMTlXN1FkYk5xMnhJNUJIaWx4UGZyVVhhTVZYUE03THhxZjVjZUE1dEVmN0srL2ljNmFOUVdkZTdXekhGZTNmQ2EzeDNNczgxSURlcldhTTJtd3FYZVNHNkJnVHF1bGtFb0tueUEzSkl0ZHZ2aFJHTmJVSFFTbzdsMkR0Ky9GSWY3NnRybCt5eVVoTDdRK0dPam05dnBVdzMwaFgvOTcyMy9QcVBYMUwxSjM4d24zVUhZNFpxdGhoYkcwVzlQQXNFNU5CVi95QkNrSXI0bGFkYjdIN2lhdDhvb0lTZzJSNkEvdWlHSDUyVW9pUUdrcG5pb3NjQ0JKSnEvaWY4ME1IdjMxcG1meWU0NkQ2Rmx6VWNIcHdsRzN3ZXduUWZmQmpac2RRekhVdTJ6aTErM0N6VGZoTlJrZEFkem1acTR1VGFqQVVsWE1kandsM2c4cThMQ1pjbEFXTlQ1aXBqNzlHYTFVcjZEcnlkbGwyUWRwWENUV0NoQ2NkVHFoSm03b0w3RGVQb0VyNTFuTmpGYWYwWU9Eem1HRlM5UEN2RWtCcGNkemM2K2t5QXZ1T29GRTdhZEY2VzFxZUV0cTJzWnB1ajlVUWExejQ4V0xselAzM2FqdW9PMWduUzZmY3BSdHJ4MVM0Rmk3TlQ3T3NxK3lHM3NHM21XNHJ2RTk5R1dvakluYjlKRzF4MDdhQS9JUk5lZkdFWGtDR0dJSWRnVklDdW9kOTNCbGR0cmh1eTRZMG56cE03VngybjhWclp0KzA1dE5YbC9aSjNlKzNTcHR2TGhNTjBBaTJiaENtWUhZdThOSGtwWFhQZ0o0MlZrcHB2VE91N3V5bkoyNEtPWVV3cTU1aDJCbkVtWUdaQzhNbWZUQnRSTzlUcXJLSlVmeTFKMmttcll4ZzBzQzNqdFpDa3JmakNObjg4TnpMV3V1aFNDTlZYMkpNMzlHais3SGpDQlNoSE1mdDVNUDkwN2RXbW9tVlJ6ZlBMYVV3TFJ1MG1YcTRQaHk0MzNCRlI4UGg5OTQvdXMycFFrMy9VeCtMaVUrbytlSDVaUzlMZDl4VklPYlpIcGtiQlkxVGM3RTZRbnMrdnU5TERvb0hKNysxb2tPM09ScGczUHBDSGZsVXFaRTVSNlJvME9DTm9lTTgxTFUxL2ZBK2cwUE0vaUpwWS9CMnVUZlVpRmwwblBjbGUzMFlPZWZPYThva1k3SUUrcVpmMmFmRzF2VlBlSTg0MmFtc0pwd3AwWTVMUEpNUmhuLzJ3dWRPdGE3ckRrUXYxZVNGVmNhdGMzZktieUg5SS9HeG5uRWZLREZJdEhZenpSSk14Ujk0VXVvVkZQcXVpZjFnRXVHU1VKNnBpVGl1OEZlRTFROFducEllTFEyRUNxVDFjL3AxVEx6Z0pjalp0QkllNXFNSHVNVzhVbWtyelNNUG9QSUphbDJhWU5ZcXZRM0g4NUlBcjB2cExGUmVxN2xacjlpTTEvV2tBUk8zMEt0ZGRlaFZBQUtCNHd6bHg5UGJpWG5IbzlzTk4raWJ1Uzdvc0ppSmU5eGlwQTlKcjdWYXFSMGQ1a28wb2FzN3ErdTFMbm5sWTRPTW5FdjRlUmVpMm1vS294RjJMMzY1cFZtWXdUUVBkRC9pMUdoYlgrdXRndkRKdHN6Nzg4S3dRYVRyV2FvN3VWZmZyUi9IYzQ2TjhlZW50RFNKMzBHYTV5bEpjekVlK1ZiQkljNkNaZkRzczArcGlVSHVxWnpObzdjZFRZS1hiTm9OSjRLZXJ3YWFMKzhOalVaMk5UUzBUeEVUU0xZdjlkamNINldCZHdUMDQ0Yy9jd1JBRjM2MndKcUozZmEySnZ2dVdhSDdoTlRyaUZBbGg2TjFHQjFQNWtMV2FPK1ZqMjBWdi9LUFNnUDc4cklkV2VpV01GL1dFTGYyY0dFeTJGMzhyT1RMQ1VZY2xNZ3lKY0V0SG53eXpPaHRQM3pCM1VQdGdMKzJiLzBZRVVaUnlDSU5sOEFTcWswRGI3d3FmVlJwWDJCdHBJUG9JUVpPa2tiVnZiVm1sMTI4dWd4cWRyODFUUlMwaHZ1L1NIcncwWTllOVc3bzIrOGt4VkVqWXhqOHR0Q2R4eXpBeldST2E3N2lwaDBoaXQ5SWdPYkFzUWJLWW9kSHpIbGNIRFJUTVBZMit0R1MxZEtucWRyVElMbVdVbmxMajhLWWZsQWVVa2FkdVBpMGNsOUhhM3V3cXZrQmJJaW9SUmdzeFoyY0xkQVZrZE1zZUVjRkRhSkNCempmNElzQUtTSWU2TnFKMGVsbVU1aDBuQTVZRVF3V3plTFMyVHRiZjFWejRybGxyTkZ5V0FYa0JtbHBNTDJIZnpScUl5RHpzTm5SM3g2eWx4Q1llS2Z4dlJQV3VtdkJvNHZuYmt3WFdHMTEwL0RRV2srN1ZEZmU2TnFlT0RCK2R1SStUeERiSUJzMUhIYW83a0hSUEduOWtsbEZFUjN4U3o5Ung3dUNhTzEwSmk3eFk2V0N0ZTdrclFYN205NFBKeU5NSnV1TnJLTnMvWW5zTDZaSm1naVh5MWtjRjgwek12L1BwQ2g1ODI5UVN3RUNGQU1VQUFBQUNBREtkRmhiVGNmUlE4QUJBQUR3QXdBQURBQUpBQUFBQUFBQUFBQUF0b0VBQUFBQVpHOWpkVzFsYm5RdWVHMXNWVlFGQUFmZEh2dG9VRXNCQWhRREZBQUFBQWdBeW5SWVcrckR0NzA0REFBQVNZNEFBQThBQ1FBQUFBQUFBQUFBQUxhQjZnRUFBSEJoWjJWekwzQmhaMlV4TG5odGJGVlVCUUFIM1I3N2FGQkxBUUlVQXhRQUFBQUlBTXAwV0ZzazhOdjRPZ0FBQURvQUFBQU9BQWtBQUFBQUFBQUFBQUMyZ1U4T0FBQnlaV3h6TDE5eVpXeHpMbmh0YkZWVUJRQUgzUjc3YUZCTEFRSVVBeFFBQUFBSUFNcDBXRnNrOE52NE9nQUFBRG9BQUFBVEFBa0FBQUFBQUFBQUFBQzJnYlVPQUFCeVpXeHpMM0JoWjJVeFgzSmxiSE11ZUcxc1ZWUUZBQWZkSHZ0b1VFc0JBaFFERkFBQUFBZ0F5blJZVzY2WE9uRzFBd0FBWXg4QUFBa0FDUUFBQUFBQUFBQUFBTGFCSUE4QUFIUm9aVzFsTG5odGJGVlVCUUFIM1I3N2FGQkxBUUlVQXhRQUFBQUlBTXAwV0Z2bWFlUHhLeFFBQUR3V0FBQU9BQWtBQUFBQUFBQUFBQUMyZ2Z3U0FBQjBhSFZ0WW01aGFXd3VhbkJsWjFWVUJRQUgzUjc3YUZCTEJRWUFBQUFBQmdBR0FKMEJBQUJUSndBQUFBQT0iLAoJIkZpbGVOYW1lIiA6ICLnu5jlm74xLmVkZHg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18872</Words>
  <Characters>19825</Characters>
  <Lines>0</Lines>
  <Paragraphs>0</Paragraphs>
  <TotalTime>0</TotalTime>
  <ScaleCrop>false</ScaleCrop>
  <LinksUpToDate>false</LinksUpToDate>
  <CharactersWithSpaces>20207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2025-10-20T06:57:00Z</dcterms:created>
  <dc:creator>153****3635</dc:creator>
  <cp:lastModifiedBy>153****3635</cp:lastModifiedBy>
  <dcterms:modified xsi:type="dcterms:W3CDTF">2025-11-03T09:00:47Z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576BDF1A19EF4F059502B3EAC9001F89_11</vt:lpwstr>
  </property>
  <property fmtid="{D5CDD505-2E9C-101B-9397-08002B2CF9AE}" pid="4" name="KSOTemplateDocerSaveRecord">
    <vt:lpwstr>eyJoZGlkIjoiNDJlZGQ3NmFiOTcyMGU4MmZlMjk5ZTNkYzc4Zjc3N2QiLCJ1c2VySWQiOiIxNDM5MzAxNTU3In0=</vt:lpwstr>
  </property>
</Properties>
</file>