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62AF3E">
      <w:pPr>
        <w:keepNext/>
        <w:keepLines/>
        <w:pageBreakBefore w:val="0"/>
        <w:widowControl w:val="0"/>
        <w:kinsoku/>
        <w:wordWrap/>
        <w:overflowPunct/>
        <w:topLinePunct w:val="0"/>
        <w:autoSpaceDE/>
        <w:autoSpaceDN/>
        <w:bidi w:val="0"/>
        <w:adjustRightInd/>
        <w:snapToGrid/>
        <w:spacing w:before="0" w:after="0" w:line="360" w:lineRule="auto"/>
        <w:ind w:left="0" w:leftChars="0"/>
        <w:jc w:val="center"/>
        <w:textAlignment w:val="auto"/>
        <w:outlineLvl w:val="9"/>
        <w:rPr>
          <w:rFonts w:hint="eastAsia" w:asciiTheme="minorEastAsia" w:hAnsiTheme="minorEastAsia" w:eastAsiaTheme="minorEastAsia" w:cstheme="minorEastAsia"/>
          <w:b/>
          <w:bCs/>
          <w:sz w:val="52"/>
          <w:szCs w:val="52"/>
          <w:lang w:val="en-US" w:eastAsia="zh-CN"/>
        </w:rPr>
      </w:pPr>
    </w:p>
    <w:p w14:paraId="50F54847">
      <w:pPr>
        <w:keepNext/>
        <w:keepLines/>
        <w:pageBreakBefore w:val="0"/>
        <w:widowControl w:val="0"/>
        <w:kinsoku/>
        <w:wordWrap/>
        <w:overflowPunct/>
        <w:topLinePunct w:val="0"/>
        <w:autoSpaceDE/>
        <w:autoSpaceDN/>
        <w:bidi w:val="0"/>
        <w:adjustRightInd/>
        <w:snapToGrid/>
        <w:spacing w:before="0" w:after="0" w:line="360" w:lineRule="auto"/>
        <w:ind w:left="0" w:leftChars="0"/>
        <w:jc w:val="center"/>
        <w:textAlignment w:val="auto"/>
        <w:outlineLvl w:val="9"/>
        <w:rPr>
          <w:rFonts w:hint="eastAsia" w:asciiTheme="minorEastAsia" w:hAnsiTheme="minorEastAsia" w:eastAsiaTheme="minorEastAsia" w:cstheme="minorEastAsia"/>
          <w:b/>
          <w:bCs/>
          <w:sz w:val="52"/>
          <w:szCs w:val="52"/>
          <w:lang w:val="en-US" w:eastAsia="zh-CN"/>
        </w:rPr>
      </w:pPr>
    </w:p>
    <w:p w14:paraId="59A17E29">
      <w:pPr>
        <w:keepNext/>
        <w:keepLines/>
        <w:pageBreakBefore w:val="0"/>
        <w:widowControl w:val="0"/>
        <w:kinsoku/>
        <w:wordWrap/>
        <w:overflowPunct/>
        <w:topLinePunct w:val="0"/>
        <w:autoSpaceDE/>
        <w:autoSpaceDN/>
        <w:bidi w:val="0"/>
        <w:adjustRightInd/>
        <w:snapToGrid/>
        <w:spacing w:before="0" w:after="0" w:line="360" w:lineRule="auto"/>
        <w:ind w:left="0" w:leftChars="0"/>
        <w:jc w:val="center"/>
        <w:textAlignment w:val="auto"/>
        <w:outlineLvl w:val="9"/>
        <w:rPr>
          <w:rFonts w:hint="eastAsia" w:asciiTheme="minorEastAsia" w:hAnsiTheme="minorEastAsia" w:eastAsiaTheme="minorEastAsia" w:cstheme="minorEastAsia"/>
          <w:b/>
          <w:bCs/>
          <w:sz w:val="52"/>
          <w:szCs w:val="52"/>
          <w:lang w:val="en-US" w:eastAsia="zh-CN"/>
        </w:rPr>
      </w:pPr>
      <w:r>
        <w:rPr>
          <w:rFonts w:hint="eastAsia" w:asciiTheme="minorEastAsia" w:hAnsiTheme="minorEastAsia" w:eastAsiaTheme="minorEastAsia" w:cstheme="minorEastAsia"/>
          <w:b/>
          <w:bCs/>
          <w:sz w:val="52"/>
          <w:szCs w:val="52"/>
          <w:lang w:val="en-US" w:eastAsia="zh-CN"/>
        </w:rPr>
        <w:t>开州区五通乡老林沟饮用水源地</w:t>
      </w:r>
    </w:p>
    <w:p w14:paraId="1606AB56">
      <w:pPr>
        <w:keepNext/>
        <w:keepLines/>
        <w:pageBreakBefore w:val="0"/>
        <w:widowControl w:val="0"/>
        <w:kinsoku/>
        <w:wordWrap/>
        <w:overflowPunct/>
        <w:topLinePunct w:val="0"/>
        <w:autoSpaceDE/>
        <w:autoSpaceDN/>
        <w:bidi w:val="0"/>
        <w:adjustRightInd/>
        <w:snapToGrid/>
        <w:spacing w:before="0" w:after="0" w:line="360" w:lineRule="auto"/>
        <w:ind w:left="0" w:leftChars="0"/>
        <w:jc w:val="center"/>
        <w:textAlignment w:val="auto"/>
        <w:outlineLvl w:val="9"/>
        <w:rPr>
          <w:rFonts w:hint="eastAsia" w:asciiTheme="minorEastAsia" w:hAnsiTheme="minorEastAsia" w:eastAsiaTheme="minorEastAsia" w:cstheme="minorEastAsia"/>
          <w:b/>
          <w:bCs/>
          <w:sz w:val="52"/>
          <w:szCs w:val="52"/>
        </w:rPr>
      </w:pPr>
      <w:r>
        <w:rPr>
          <w:rFonts w:hint="eastAsia" w:asciiTheme="minorEastAsia" w:hAnsiTheme="minorEastAsia" w:eastAsiaTheme="minorEastAsia" w:cstheme="minorEastAsia"/>
          <w:b/>
          <w:bCs/>
          <w:sz w:val="52"/>
          <w:szCs w:val="52"/>
        </w:rPr>
        <w:t>突发环境事件应急预案</w:t>
      </w:r>
    </w:p>
    <w:p w14:paraId="231CDBD2">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p>
    <w:p w14:paraId="244AB6C8">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p>
    <w:p w14:paraId="671CE366">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p>
    <w:p w14:paraId="38ADE974">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p>
    <w:p w14:paraId="06B3C09F">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p>
    <w:p w14:paraId="2B8A2367">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 xml:space="preserve">                预案编号：</w:t>
      </w:r>
      <w:r>
        <w:rPr>
          <w:rFonts w:hint="eastAsia" w:asciiTheme="minorEastAsia" w:hAnsiTheme="minorEastAsia" w:eastAsiaTheme="minorEastAsia" w:cstheme="minorEastAsia"/>
          <w:sz w:val="28"/>
          <w:szCs w:val="28"/>
          <w:lang w:val="en-US" w:eastAsia="zh-CN"/>
        </w:rPr>
        <w:t xml:space="preserve">LLGYYSYD 2025-1 </w:t>
      </w:r>
    </w:p>
    <w:p w14:paraId="1A66CD0A">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版 本 号：</w:t>
      </w:r>
      <w:r>
        <w:rPr>
          <w:rFonts w:hint="eastAsia" w:asciiTheme="minorEastAsia" w:hAnsiTheme="minorEastAsia" w:eastAsiaTheme="minorEastAsia" w:cstheme="minorEastAsia"/>
          <w:sz w:val="28"/>
          <w:szCs w:val="28"/>
          <w:lang w:val="en-US" w:eastAsia="zh-CN"/>
        </w:rPr>
        <w:t>2025-1</w:t>
      </w:r>
      <w:r>
        <w:rPr>
          <w:rFonts w:hint="eastAsia" w:asciiTheme="minorEastAsia" w:hAnsiTheme="minorEastAsia" w:eastAsiaTheme="minorEastAsia" w:cstheme="minorEastAsia"/>
          <w:sz w:val="28"/>
          <w:szCs w:val="28"/>
        </w:rPr>
        <w:t xml:space="preserve">  </w:t>
      </w:r>
    </w:p>
    <w:p w14:paraId="57DC8102">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 xml:space="preserve"> 颁布日期：</w:t>
      </w:r>
      <w:r>
        <w:rPr>
          <w:rFonts w:hint="eastAsia" w:asciiTheme="minorEastAsia" w:hAnsiTheme="minorEastAsia" w:eastAsiaTheme="minorEastAsia" w:cstheme="minorEastAsia"/>
          <w:sz w:val="28"/>
          <w:szCs w:val="28"/>
          <w:lang w:val="en-US" w:eastAsia="zh-CN"/>
        </w:rPr>
        <w:t xml:space="preserve">2025年11月  </w:t>
      </w:r>
      <w:r>
        <w:rPr>
          <w:rFonts w:hint="eastAsia" w:asciiTheme="minorEastAsia" w:hAnsiTheme="minorEastAsia" w:eastAsiaTheme="minorEastAsia" w:cstheme="minorEastAsia"/>
          <w:sz w:val="28"/>
          <w:szCs w:val="28"/>
        </w:rPr>
        <w:t xml:space="preserve">  </w:t>
      </w:r>
    </w:p>
    <w:p w14:paraId="320A05B7">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p>
    <w:p w14:paraId="0F353913">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p>
    <w:p w14:paraId="0181C76F">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p>
    <w:p w14:paraId="4E805E2F">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eastAsia="zh-CN"/>
        </w:rPr>
        <w:t>重庆市开州区</w:t>
      </w:r>
      <w:r>
        <w:rPr>
          <w:rFonts w:hint="eastAsia" w:asciiTheme="minorEastAsia" w:hAnsiTheme="minorEastAsia" w:eastAsiaTheme="minorEastAsia" w:cstheme="minorEastAsia"/>
          <w:b/>
          <w:bCs/>
          <w:sz w:val="32"/>
          <w:szCs w:val="32"/>
          <w:lang w:val="en-US" w:eastAsia="zh-CN"/>
        </w:rPr>
        <w:t>五通乡人民政府</w:t>
      </w:r>
    </w:p>
    <w:p w14:paraId="7120B30E">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lang w:val="en-US" w:eastAsia="zh-CN"/>
        </w:rPr>
        <w:t>2025</w:t>
      </w:r>
      <w:r>
        <w:rPr>
          <w:rFonts w:hint="eastAsia" w:asciiTheme="minorEastAsia" w:hAnsiTheme="minorEastAsia" w:eastAsiaTheme="minorEastAsia" w:cstheme="minorEastAsia"/>
          <w:b/>
          <w:bCs/>
          <w:sz w:val="32"/>
          <w:szCs w:val="32"/>
        </w:rPr>
        <w:t>年</w:t>
      </w:r>
      <w:r>
        <w:rPr>
          <w:rFonts w:hint="eastAsia" w:asciiTheme="minorEastAsia" w:hAnsiTheme="minorEastAsia" w:eastAsiaTheme="minorEastAsia" w:cstheme="minorEastAsia"/>
          <w:b/>
          <w:bCs/>
          <w:sz w:val="32"/>
          <w:szCs w:val="32"/>
          <w:lang w:val="en-US" w:eastAsia="zh-CN"/>
        </w:rPr>
        <w:t>11</w:t>
      </w:r>
      <w:r>
        <w:rPr>
          <w:rFonts w:hint="eastAsia" w:asciiTheme="minorEastAsia" w:hAnsiTheme="minorEastAsia" w:eastAsiaTheme="minorEastAsia" w:cstheme="minorEastAsia"/>
          <w:b/>
          <w:bCs/>
          <w:sz w:val="32"/>
          <w:szCs w:val="32"/>
        </w:rPr>
        <w:t>月</w:t>
      </w:r>
    </w:p>
    <w:p w14:paraId="6D0651AF">
      <w:pPr>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br w:type="page"/>
      </w:r>
    </w:p>
    <w:p w14:paraId="7DD5BFA7">
      <w:pPr>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br w:type="page"/>
      </w:r>
    </w:p>
    <w:sdt>
      <w:sdtPr>
        <w:rPr>
          <w:rFonts w:ascii="宋体" w:hAnsi="宋体" w:eastAsia="宋体" w:cs="Times New Roman"/>
          <w:kern w:val="2"/>
          <w:sz w:val="21"/>
          <w:szCs w:val="21"/>
          <w:lang w:val="en-US" w:eastAsia="zh-CN" w:bidi="ar-SA"/>
        </w:rPr>
        <w:id w:val="147471964"/>
        <w15:color w:val="DBDBDB"/>
        <w:docPartObj>
          <w:docPartGallery w:val="Table of Contents"/>
          <w:docPartUnique/>
        </w:docPartObj>
      </w:sdtPr>
      <w:sdtEndPr>
        <w:rPr>
          <w:rFonts w:hint="eastAsia" w:asciiTheme="minorEastAsia" w:hAnsiTheme="minorEastAsia" w:eastAsiaTheme="minorEastAsia" w:cstheme="minorEastAsia"/>
          <w:b/>
          <w:bCs/>
          <w:kern w:val="2"/>
          <w:sz w:val="32"/>
          <w:szCs w:val="32"/>
          <w:lang w:val="zh-CN" w:eastAsia="zh-CN" w:bidi="zh-CN"/>
        </w:rPr>
      </w:sdtEndPr>
      <w:sdtContent>
        <w:p w14:paraId="466BD759">
          <w:pPr>
            <w:spacing w:before="0" w:beforeLines="0" w:after="0" w:afterLines="0" w:line="240" w:lineRule="auto"/>
            <w:ind w:left="0" w:leftChars="0" w:right="0" w:rightChars="0" w:firstLine="0" w:firstLineChars="0"/>
            <w:jc w:val="center"/>
          </w:pPr>
          <w:r>
            <w:rPr>
              <w:rFonts w:ascii="宋体" w:hAnsi="宋体" w:eastAsia="宋体"/>
              <w:sz w:val="21"/>
            </w:rPr>
            <w:t>目录</w:t>
          </w:r>
        </w:p>
        <w:p w14:paraId="5941708A">
          <w:pPr>
            <w:pStyle w:val="12"/>
            <w:tabs>
              <w:tab w:val="right" w:leader="dot" w:pos="9026"/>
            </w:tabs>
          </w:pPr>
          <w:r>
            <w:rPr>
              <w:rFonts w:hint="eastAsia" w:asciiTheme="minorEastAsia" w:hAnsiTheme="minorEastAsia" w:eastAsiaTheme="minorEastAsia" w:cstheme="minorEastAsia"/>
              <w:b/>
              <w:bCs/>
              <w:sz w:val="32"/>
              <w:szCs w:val="32"/>
            </w:rPr>
            <w:fldChar w:fldCharType="begin"/>
          </w:r>
          <w:r>
            <w:rPr>
              <w:rFonts w:hint="eastAsia" w:asciiTheme="minorEastAsia" w:hAnsiTheme="minorEastAsia" w:eastAsiaTheme="minorEastAsia" w:cstheme="minorEastAsia"/>
              <w:b/>
              <w:bCs/>
              <w:sz w:val="32"/>
              <w:szCs w:val="32"/>
            </w:rPr>
            <w:instrText xml:space="preserve">TOC \o "1-2" \h \u </w:instrText>
          </w:r>
          <w:r>
            <w:rPr>
              <w:rFonts w:hint="eastAsia" w:asciiTheme="minorEastAsia" w:hAnsiTheme="minorEastAsia" w:eastAsiaTheme="minorEastAsia" w:cstheme="minorEastAsia"/>
              <w:b/>
              <w:bCs/>
              <w:sz w:val="32"/>
              <w:szCs w:val="32"/>
            </w:rPr>
            <w:fldChar w:fldCharType="separate"/>
          </w: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_Toc7210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32"/>
              <w:lang w:val="en-US" w:eastAsia="zh-CN"/>
            </w:rPr>
            <w:t>1总则</w:t>
          </w:r>
          <w:r>
            <w:tab/>
          </w:r>
          <w:r>
            <w:fldChar w:fldCharType="begin"/>
          </w:r>
          <w:r>
            <w:instrText xml:space="preserve"> PAGEREF _Toc7210 \h </w:instrText>
          </w:r>
          <w:r>
            <w:fldChar w:fldCharType="separate"/>
          </w:r>
          <w:r>
            <w:t>1</w:t>
          </w:r>
          <w:r>
            <w:fldChar w:fldCharType="end"/>
          </w:r>
          <w:r>
            <w:rPr>
              <w:rFonts w:hint="eastAsia" w:asciiTheme="minorEastAsia" w:hAnsiTheme="minorEastAsia" w:eastAsiaTheme="minorEastAsia" w:cstheme="minorEastAsia"/>
              <w:bCs/>
              <w:szCs w:val="32"/>
            </w:rPr>
            <w:fldChar w:fldCharType="end"/>
          </w:r>
        </w:p>
        <w:p w14:paraId="6554460D">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_Toc1485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rPr>
            <w:t>1.1</w:t>
          </w:r>
          <w:r>
            <w:rPr>
              <w:rFonts w:hint="eastAsia" w:ascii="宋体" w:hAnsi="宋体" w:cs="宋体"/>
              <w:bCs/>
              <w:szCs w:val="28"/>
              <w:lang w:val="en-US" w:eastAsia="zh-CN"/>
            </w:rPr>
            <w:t xml:space="preserve"> </w:t>
          </w:r>
          <w:r>
            <w:rPr>
              <w:rFonts w:hint="eastAsia" w:ascii="宋体" w:hAnsi="宋体" w:eastAsia="宋体" w:cs="宋体"/>
              <w:bCs/>
              <w:szCs w:val="28"/>
            </w:rPr>
            <w:t>编制目的</w:t>
          </w:r>
          <w:r>
            <w:tab/>
          </w:r>
          <w:r>
            <w:fldChar w:fldCharType="begin"/>
          </w:r>
          <w:r>
            <w:instrText xml:space="preserve"> PAGEREF _Toc1485 \h </w:instrText>
          </w:r>
          <w:r>
            <w:fldChar w:fldCharType="separate"/>
          </w:r>
          <w:r>
            <w:t>1</w:t>
          </w:r>
          <w:r>
            <w:fldChar w:fldCharType="end"/>
          </w:r>
          <w:r>
            <w:rPr>
              <w:rFonts w:hint="eastAsia" w:asciiTheme="minorEastAsia" w:hAnsiTheme="minorEastAsia" w:eastAsiaTheme="minorEastAsia" w:cstheme="minorEastAsia"/>
              <w:bCs/>
              <w:szCs w:val="32"/>
            </w:rPr>
            <w:fldChar w:fldCharType="end"/>
          </w:r>
        </w:p>
        <w:p w14:paraId="5138CC93">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_Toc480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rPr>
            <w:t>1.2</w:t>
          </w:r>
          <w:r>
            <w:rPr>
              <w:rFonts w:hint="eastAsia" w:ascii="宋体" w:hAnsi="宋体" w:eastAsia="宋体" w:cs="宋体"/>
              <w:bCs/>
              <w:szCs w:val="28"/>
              <w:lang w:val="en-US" w:eastAsia="zh-CN"/>
            </w:rPr>
            <w:t xml:space="preserve"> </w:t>
          </w:r>
          <w:r>
            <w:rPr>
              <w:rFonts w:hint="eastAsia" w:ascii="宋体" w:hAnsi="宋体" w:eastAsia="宋体" w:cs="宋体"/>
              <w:bCs/>
              <w:szCs w:val="28"/>
            </w:rPr>
            <w:t>适用范围</w:t>
          </w:r>
          <w:r>
            <w:tab/>
          </w:r>
          <w:r>
            <w:fldChar w:fldCharType="begin"/>
          </w:r>
          <w:r>
            <w:instrText xml:space="preserve"> PAGEREF _Toc480 \h </w:instrText>
          </w:r>
          <w:r>
            <w:fldChar w:fldCharType="separate"/>
          </w:r>
          <w:r>
            <w:t>1</w:t>
          </w:r>
          <w:r>
            <w:fldChar w:fldCharType="end"/>
          </w:r>
          <w:r>
            <w:rPr>
              <w:rFonts w:hint="eastAsia" w:asciiTheme="minorEastAsia" w:hAnsiTheme="minorEastAsia" w:eastAsiaTheme="minorEastAsia" w:cstheme="minorEastAsia"/>
              <w:bCs/>
              <w:szCs w:val="32"/>
            </w:rPr>
            <w:fldChar w:fldCharType="end"/>
          </w:r>
        </w:p>
        <w:p w14:paraId="5CC057CF">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_Toc16483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rPr>
            <w:t>1.3</w:t>
          </w:r>
          <w:r>
            <w:rPr>
              <w:rFonts w:hint="eastAsia" w:ascii="宋体" w:hAnsi="宋体" w:eastAsia="宋体" w:cs="宋体"/>
              <w:bCs/>
              <w:szCs w:val="28"/>
              <w:lang w:val="en-US" w:eastAsia="zh-CN"/>
            </w:rPr>
            <w:t xml:space="preserve"> </w:t>
          </w:r>
          <w:r>
            <w:rPr>
              <w:rFonts w:hint="eastAsia" w:ascii="宋体" w:hAnsi="宋体" w:eastAsia="宋体" w:cs="宋体"/>
              <w:bCs/>
              <w:szCs w:val="28"/>
            </w:rPr>
            <w:t>编制依据</w:t>
          </w:r>
          <w:r>
            <w:tab/>
          </w:r>
          <w:r>
            <w:fldChar w:fldCharType="begin"/>
          </w:r>
          <w:r>
            <w:instrText xml:space="preserve"> PAGEREF _Toc16483 \h </w:instrText>
          </w:r>
          <w:r>
            <w:fldChar w:fldCharType="separate"/>
          </w:r>
          <w:r>
            <w:t>1</w:t>
          </w:r>
          <w:r>
            <w:fldChar w:fldCharType="end"/>
          </w:r>
          <w:r>
            <w:rPr>
              <w:rFonts w:hint="eastAsia" w:asciiTheme="minorEastAsia" w:hAnsiTheme="minorEastAsia" w:eastAsiaTheme="minorEastAsia" w:cstheme="minorEastAsia"/>
              <w:bCs/>
              <w:szCs w:val="32"/>
            </w:rPr>
            <w:fldChar w:fldCharType="end"/>
          </w:r>
        </w:p>
        <w:p w14:paraId="6735EFAB">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_Toc5010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rPr>
            <w:t>1.</w:t>
          </w:r>
          <w:r>
            <w:rPr>
              <w:rFonts w:hint="eastAsia" w:ascii="宋体" w:hAnsi="宋体" w:eastAsia="宋体" w:cs="宋体"/>
              <w:bCs/>
              <w:szCs w:val="28"/>
              <w:lang w:val="en-US" w:eastAsia="zh-CN"/>
            </w:rPr>
            <w:t xml:space="preserve">4 </w:t>
          </w:r>
          <w:r>
            <w:rPr>
              <w:rFonts w:hint="eastAsia" w:ascii="宋体" w:hAnsi="宋体" w:eastAsia="宋体" w:cs="宋体"/>
              <w:bCs/>
              <w:szCs w:val="28"/>
            </w:rPr>
            <w:t>工作原则</w:t>
          </w:r>
          <w:r>
            <w:tab/>
          </w:r>
          <w:r>
            <w:fldChar w:fldCharType="begin"/>
          </w:r>
          <w:r>
            <w:instrText xml:space="preserve"> PAGEREF _Toc5010 \h </w:instrText>
          </w:r>
          <w:r>
            <w:fldChar w:fldCharType="separate"/>
          </w:r>
          <w:r>
            <w:t>3</w:t>
          </w:r>
          <w:r>
            <w:fldChar w:fldCharType="end"/>
          </w:r>
          <w:r>
            <w:rPr>
              <w:rFonts w:hint="eastAsia" w:asciiTheme="minorEastAsia" w:hAnsiTheme="minorEastAsia" w:eastAsiaTheme="minorEastAsia" w:cstheme="minorEastAsia"/>
              <w:bCs/>
              <w:szCs w:val="32"/>
            </w:rPr>
            <w:fldChar w:fldCharType="end"/>
          </w:r>
        </w:p>
        <w:p w14:paraId="785C3ED7">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_Toc14603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zh-CN"/>
            </w:rPr>
            <w:t>1.</w:t>
          </w:r>
          <w:r>
            <w:rPr>
              <w:rFonts w:hint="eastAsia" w:ascii="宋体" w:hAnsi="宋体" w:eastAsia="宋体" w:cs="宋体"/>
              <w:bCs/>
              <w:szCs w:val="28"/>
              <w:lang w:val="en-US" w:eastAsia="zh-CN"/>
            </w:rPr>
            <w:t xml:space="preserve">5 </w:t>
          </w:r>
          <w:r>
            <w:rPr>
              <w:rFonts w:hint="eastAsia" w:ascii="宋体" w:hAnsi="宋体" w:eastAsia="宋体" w:cs="宋体"/>
              <w:bCs/>
              <w:szCs w:val="28"/>
              <w:lang w:val="zh-CN"/>
            </w:rPr>
            <w:t>应急预案体系</w:t>
          </w:r>
          <w:r>
            <w:tab/>
          </w:r>
          <w:r>
            <w:fldChar w:fldCharType="begin"/>
          </w:r>
          <w:r>
            <w:instrText xml:space="preserve"> PAGEREF _Toc14603 \h </w:instrText>
          </w:r>
          <w:r>
            <w:fldChar w:fldCharType="separate"/>
          </w:r>
          <w:r>
            <w:t>4</w:t>
          </w:r>
          <w:r>
            <w:fldChar w:fldCharType="end"/>
          </w:r>
          <w:r>
            <w:rPr>
              <w:rFonts w:hint="eastAsia" w:asciiTheme="minorEastAsia" w:hAnsiTheme="minorEastAsia" w:eastAsiaTheme="minorEastAsia" w:cstheme="minorEastAsia"/>
              <w:bCs/>
              <w:szCs w:val="32"/>
            </w:rPr>
            <w:fldChar w:fldCharType="end"/>
          </w:r>
        </w:p>
        <w:p w14:paraId="4DECC767">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_Toc18947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en-US" w:eastAsia="zh-CN"/>
            </w:rPr>
            <w:t>1.6 事件分级</w:t>
          </w:r>
          <w:r>
            <w:tab/>
          </w:r>
          <w:r>
            <w:fldChar w:fldCharType="begin"/>
          </w:r>
          <w:r>
            <w:instrText xml:space="preserve"> PAGEREF _Toc18947 \h </w:instrText>
          </w:r>
          <w:r>
            <w:fldChar w:fldCharType="separate"/>
          </w:r>
          <w:r>
            <w:t>4</w:t>
          </w:r>
          <w:r>
            <w:fldChar w:fldCharType="end"/>
          </w:r>
          <w:r>
            <w:rPr>
              <w:rFonts w:hint="eastAsia" w:asciiTheme="minorEastAsia" w:hAnsiTheme="minorEastAsia" w:eastAsiaTheme="minorEastAsia" w:cstheme="minorEastAsia"/>
              <w:bCs/>
              <w:szCs w:val="32"/>
            </w:rPr>
            <w:fldChar w:fldCharType="end"/>
          </w:r>
        </w:p>
        <w:p w14:paraId="3D79904B">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_Toc14245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32"/>
              <w:lang w:val="en-US" w:eastAsia="zh-CN"/>
            </w:rPr>
            <w:t>2</w:t>
          </w:r>
          <w:r>
            <w:rPr>
              <w:rFonts w:hint="eastAsia" w:ascii="宋体" w:hAnsi="宋体" w:cs="宋体"/>
              <w:bCs/>
              <w:szCs w:val="32"/>
              <w:lang w:val="en-US" w:eastAsia="zh-CN"/>
            </w:rPr>
            <w:t xml:space="preserve"> </w:t>
          </w:r>
          <w:r>
            <w:rPr>
              <w:rFonts w:hint="eastAsia" w:ascii="宋体" w:hAnsi="宋体" w:eastAsia="宋体" w:cs="宋体"/>
              <w:bCs/>
              <w:szCs w:val="32"/>
              <w:lang w:val="en-US" w:eastAsia="zh-CN"/>
            </w:rPr>
            <w:t>开州区五通乡老林沟饮用水水源地基础信息</w:t>
          </w:r>
          <w:r>
            <w:tab/>
          </w:r>
          <w:r>
            <w:fldChar w:fldCharType="begin"/>
          </w:r>
          <w:r>
            <w:instrText xml:space="preserve"> PAGEREF _Toc14245 \h </w:instrText>
          </w:r>
          <w:r>
            <w:fldChar w:fldCharType="separate"/>
          </w:r>
          <w:r>
            <w:t>7</w:t>
          </w:r>
          <w:r>
            <w:fldChar w:fldCharType="end"/>
          </w:r>
          <w:r>
            <w:rPr>
              <w:rFonts w:hint="eastAsia" w:asciiTheme="minorEastAsia" w:hAnsiTheme="minorEastAsia" w:eastAsiaTheme="minorEastAsia" w:cstheme="minorEastAsia"/>
              <w:bCs/>
              <w:szCs w:val="32"/>
            </w:rPr>
            <w:fldChar w:fldCharType="end"/>
          </w:r>
        </w:p>
        <w:p w14:paraId="6132F9AA">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_Toc24334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en-US" w:eastAsia="zh-CN"/>
            </w:rPr>
            <w:t>2.1 开州区五通乡老林沟水源地基础信息</w:t>
          </w:r>
          <w:r>
            <w:tab/>
          </w:r>
          <w:r>
            <w:fldChar w:fldCharType="begin"/>
          </w:r>
          <w:r>
            <w:instrText xml:space="preserve"> PAGEREF _Toc24334 \h </w:instrText>
          </w:r>
          <w:r>
            <w:fldChar w:fldCharType="separate"/>
          </w:r>
          <w:r>
            <w:t>7</w:t>
          </w:r>
          <w:r>
            <w:fldChar w:fldCharType="end"/>
          </w:r>
          <w:r>
            <w:rPr>
              <w:rFonts w:hint="eastAsia" w:asciiTheme="minorEastAsia" w:hAnsiTheme="minorEastAsia" w:eastAsiaTheme="minorEastAsia" w:cstheme="minorEastAsia"/>
              <w:bCs/>
              <w:szCs w:val="32"/>
            </w:rPr>
            <w:fldChar w:fldCharType="end"/>
          </w:r>
        </w:p>
        <w:p w14:paraId="145BB64A">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_Toc25116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en-US" w:eastAsia="zh-CN"/>
            </w:rPr>
            <w:t>2.2 饮用水源地保护区划分情况简介</w:t>
          </w:r>
          <w:r>
            <w:tab/>
          </w:r>
          <w:r>
            <w:fldChar w:fldCharType="begin"/>
          </w:r>
          <w:r>
            <w:instrText xml:space="preserve"> PAGEREF _Toc25116 \h </w:instrText>
          </w:r>
          <w:r>
            <w:fldChar w:fldCharType="separate"/>
          </w:r>
          <w:r>
            <w:t>7</w:t>
          </w:r>
          <w:r>
            <w:fldChar w:fldCharType="end"/>
          </w:r>
          <w:r>
            <w:rPr>
              <w:rFonts w:hint="eastAsia" w:asciiTheme="minorEastAsia" w:hAnsiTheme="minorEastAsia" w:eastAsiaTheme="minorEastAsia" w:cstheme="minorEastAsia"/>
              <w:bCs/>
              <w:szCs w:val="32"/>
            </w:rPr>
            <w:fldChar w:fldCharType="end"/>
          </w:r>
        </w:p>
        <w:p w14:paraId="7165C294">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_Toc20101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en-US" w:eastAsia="zh-CN"/>
            </w:rPr>
            <w:t>2.3 饮用水水源地规范化建设现状调查</w:t>
          </w:r>
          <w:r>
            <w:tab/>
          </w:r>
          <w:r>
            <w:fldChar w:fldCharType="begin"/>
          </w:r>
          <w:r>
            <w:instrText xml:space="preserve"> PAGEREF _Toc20101 \h </w:instrText>
          </w:r>
          <w:r>
            <w:fldChar w:fldCharType="separate"/>
          </w:r>
          <w:r>
            <w:t>8</w:t>
          </w:r>
          <w:r>
            <w:fldChar w:fldCharType="end"/>
          </w:r>
          <w:r>
            <w:rPr>
              <w:rFonts w:hint="eastAsia" w:asciiTheme="minorEastAsia" w:hAnsiTheme="minorEastAsia" w:eastAsiaTheme="minorEastAsia" w:cstheme="minorEastAsia"/>
              <w:bCs/>
              <w:szCs w:val="32"/>
            </w:rPr>
            <w:fldChar w:fldCharType="end"/>
          </w:r>
        </w:p>
        <w:p w14:paraId="08D69377">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_Toc17472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en-US" w:eastAsia="zh-CN"/>
            </w:rPr>
            <w:t>2.4 水源地环境风险</w:t>
          </w:r>
          <w:r>
            <w:tab/>
          </w:r>
          <w:r>
            <w:fldChar w:fldCharType="begin"/>
          </w:r>
          <w:r>
            <w:instrText xml:space="preserve"> PAGEREF _Toc17472 \h </w:instrText>
          </w:r>
          <w:r>
            <w:fldChar w:fldCharType="separate"/>
          </w:r>
          <w:r>
            <w:t>16</w:t>
          </w:r>
          <w:r>
            <w:fldChar w:fldCharType="end"/>
          </w:r>
          <w:r>
            <w:rPr>
              <w:rFonts w:hint="eastAsia" w:asciiTheme="minorEastAsia" w:hAnsiTheme="minorEastAsia" w:eastAsiaTheme="minorEastAsia" w:cstheme="minorEastAsia"/>
              <w:bCs/>
              <w:szCs w:val="32"/>
            </w:rPr>
            <w:fldChar w:fldCharType="end"/>
          </w:r>
        </w:p>
        <w:p w14:paraId="0477ACA0">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_Toc7962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kern w:val="2"/>
              <w:szCs w:val="32"/>
              <w:lang w:val="en-US" w:eastAsia="zh-CN" w:bidi="ar-SA"/>
            </w:rPr>
            <w:t>3 应急组织机构体系及职责</w:t>
          </w:r>
          <w:r>
            <w:tab/>
          </w:r>
          <w:r>
            <w:fldChar w:fldCharType="begin"/>
          </w:r>
          <w:r>
            <w:instrText xml:space="preserve"> PAGEREF _Toc7962 \h </w:instrText>
          </w:r>
          <w:r>
            <w:fldChar w:fldCharType="separate"/>
          </w:r>
          <w:r>
            <w:t>18</w:t>
          </w:r>
          <w:r>
            <w:fldChar w:fldCharType="end"/>
          </w:r>
          <w:r>
            <w:rPr>
              <w:rFonts w:hint="eastAsia" w:asciiTheme="minorEastAsia" w:hAnsiTheme="minorEastAsia" w:eastAsiaTheme="minorEastAsia" w:cstheme="minorEastAsia"/>
              <w:bCs/>
              <w:szCs w:val="32"/>
            </w:rPr>
            <w:fldChar w:fldCharType="end"/>
          </w:r>
        </w:p>
        <w:p w14:paraId="5E726A3B">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_Toc21399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kern w:val="2"/>
              <w:szCs w:val="32"/>
              <w:lang w:val="en-US" w:eastAsia="zh-CN" w:bidi="ar-SA"/>
            </w:rPr>
            <w:t>3.1 应急组织机构</w:t>
          </w:r>
          <w:r>
            <w:tab/>
          </w:r>
          <w:r>
            <w:fldChar w:fldCharType="begin"/>
          </w:r>
          <w:r>
            <w:instrText xml:space="preserve"> PAGEREF _Toc21399 \h </w:instrText>
          </w:r>
          <w:r>
            <w:fldChar w:fldCharType="separate"/>
          </w:r>
          <w:r>
            <w:t>18</w:t>
          </w:r>
          <w:r>
            <w:fldChar w:fldCharType="end"/>
          </w:r>
          <w:r>
            <w:rPr>
              <w:rFonts w:hint="eastAsia" w:asciiTheme="minorEastAsia" w:hAnsiTheme="minorEastAsia" w:eastAsiaTheme="minorEastAsia" w:cstheme="minorEastAsia"/>
              <w:bCs/>
              <w:szCs w:val="32"/>
            </w:rPr>
            <w:fldChar w:fldCharType="end"/>
          </w:r>
        </w:p>
        <w:p w14:paraId="41F8D698">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_Toc15216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kern w:val="2"/>
              <w:szCs w:val="32"/>
              <w:lang w:val="en-US" w:eastAsia="zh-CN" w:bidi="ar-SA"/>
            </w:rPr>
            <w:t>3.2 应急工作机构及职责</w:t>
          </w:r>
          <w:r>
            <w:tab/>
          </w:r>
          <w:r>
            <w:fldChar w:fldCharType="begin"/>
          </w:r>
          <w:r>
            <w:instrText xml:space="preserve"> PAGEREF _Toc15216 \h </w:instrText>
          </w:r>
          <w:r>
            <w:fldChar w:fldCharType="separate"/>
          </w:r>
          <w:r>
            <w:t>18</w:t>
          </w:r>
          <w:r>
            <w:fldChar w:fldCharType="end"/>
          </w:r>
          <w:r>
            <w:rPr>
              <w:rFonts w:hint="eastAsia" w:asciiTheme="minorEastAsia" w:hAnsiTheme="minorEastAsia" w:eastAsiaTheme="minorEastAsia" w:cstheme="minorEastAsia"/>
              <w:bCs/>
              <w:szCs w:val="32"/>
            </w:rPr>
            <w:fldChar w:fldCharType="end"/>
          </w:r>
        </w:p>
        <w:p w14:paraId="3A158C41">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_Toc13987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32"/>
              <w:lang w:val="en-US" w:eastAsia="zh-CN"/>
            </w:rPr>
            <w:t>4</w:t>
          </w:r>
          <w:r>
            <w:rPr>
              <w:rFonts w:hint="eastAsia" w:ascii="宋体" w:hAnsi="宋体" w:cs="宋体"/>
              <w:bCs/>
              <w:szCs w:val="32"/>
              <w:lang w:val="en-US" w:eastAsia="zh-CN"/>
            </w:rPr>
            <w:t xml:space="preserve"> </w:t>
          </w:r>
          <w:r>
            <w:rPr>
              <w:rFonts w:hint="eastAsia" w:cs="宋体"/>
              <w:bCs/>
              <w:szCs w:val="32"/>
              <w:lang w:val="en-US" w:eastAsia="zh-CN"/>
            </w:rPr>
            <w:t>应急响应</w:t>
          </w:r>
          <w:r>
            <w:tab/>
          </w:r>
          <w:r>
            <w:fldChar w:fldCharType="begin"/>
          </w:r>
          <w:r>
            <w:instrText xml:space="preserve"> PAGEREF _Toc13987 \h </w:instrText>
          </w:r>
          <w:r>
            <w:fldChar w:fldCharType="separate"/>
          </w:r>
          <w:r>
            <w:t>23</w:t>
          </w:r>
          <w:r>
            <w:fldChar w:fldCharType="end"/>
          </w:r>
          <w:r>
            <w:rPr>
              <w:rFonts w:hint="eastAsia" w:asciiTheme="minorEastAsia" w:hAnsiTheme="minorEastAsia" w:eastAsiaTheme="minorEastAsia" w:cstheme="minorEastAsia"/>
              <w:bCs/>
              <w:szCs w:val="32"/>
            </w:rPr>
            <w:fldChar w:fldCharType="end"/>
          </w:r>
        </w:p>
        <w:p w14:paraId="607306A4">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_Toc9410 </w:instrText>
          </w:r>
          <w:r>
            <w:rPr>
              <w:rFonts w:hint="eastAsia" w:asciiTheme="minorEastAsia" w:hAnsiTheme="minorEastAsia" w:eastAsiaTheme="minorEastAsia" w:cstheme="minorEastAsia"/>
              <w:bCs/>
              <w:szCs w:val="32"/>
            </w:rPr>
            <w:fldChar w:fldCharType="separate"/>
          </w:r>
          <w:r>
            <w:rPr>
              <w:rFonts w:hint="eastAsia" w:ascii="宋体" w:hAnsi="宋体" w:cs="宋体"/>
              <w:bCs/>
              <w:szCs w:val="28"/>
              <w:lang w:val="en-US" w:eastAsia="zh-CN"/>
            </w:rPr>
            <w:t>4</w:t>
          </w:r>
          <w:r>
            <w:rPr>
              <w:rFonts w:hint="eastAsia" w:ascii="宋体" w:hAnsi="宋体" w:eastAsia="宋体" w:cs="宋体"/>
              <w:bCs/>
              <w:szCs w:val="28"/>
              <w:lang w:val="en-US" w:eastAsia="zh-CN"/>
            </w:rPr>
            <w:t>.1</w:t>
          </w:r>
          <w:r>
            <w:rPr>
              <w:rFonts w:hint="eastAsia" w:ascii="宋体" w:hAnsi="宋体" w:cs="宋体"/>
              <w:bCs/>
              <w:szCs w:val="28"/>
              <w:lang w:val="en-US" w:eastAsia="zh-CN"/>
            </w:rPr>
            <w:t xml:space="preserve"> </w:t>
          </w:r>
          <w:r>
            <w:rPr>
              <w:rFonts w:hint="eastAsia" w:ascii="宋体" w:hAnsi="宋体" w:eastAsia="宋体" w:cs="宋体"/>
              <w:bCs/>
              <w:szCs w:val="28"/>
              <w:lang w:val="en-US" w:eastAsia="zh-CN"/>
            </w:rPr>
            <w:t>信息收集与研判</w:t>
          </w:r>
          <w:r>
            <w:tab/>
          </w:r>
          <w:r>
            <w:fldChar w:fldCharType="begin"/>
          </w:r>
          <w:r>
            <w:instrText xml:space="preserve"> PAGEREF _Toc9410 \h </w:instrText>
          </w:r>
          <w:r>
            <w:fldChar w:fldCharType="separate"/>
          </w:r>
          <w:r>
            <w:t>24</w:t>
          </w:r>
          <w:r>
            <w:fldChar w:fldCharType="end"/>
          </w:r>
          <w:r>
            <w:rPr>
              <w:rFonts w:hint="eastAsia" w:asciiTheme="minorEastAsia" w:hAnsiTheme="minorEastAsia" w:eastAsiaTheme="minorEastAsia" w:cstheme="minorEastAsia"/>
              <w:bCs/>
              <w:szCs w:val="32"/>
            </w:rPr>
            <w:fldChar w:fldCharType="end"/>
          </w:r>
        </w:p>
        <w:p w14:paraId="0457F6AC">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_Toc4972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en-US" w:eastAsia="zh-CN"/>
            </w:rPr>
            <w:t>4.</w:t>
          </w:r>
          <w:r>
            <w:rPr>
              <w:rFonts w:hint="eastAsia" w:ascii="宋体" w:hAnsi="宋体" w:cs="宋体"/>
              <w:bCs/>
              <w:szCs w:val="28"/>
              <w:lang w:val="en-US" w:eastAsia="zh-CN"/>
            </w:rPr>
            <w:t>2</w:t>
          </w:r>
          <w:r>
            <w:rPr>
              <w:rFonts w:hint="eastAsia" w:ascii="宋体" w:hAnsi="宋体" w:eastAsia="宋体" w:cs="宋体"/>
              <w:bCs/>
              <w:szCs w:val="28"/>
              <w:lang w:val="en-US" w:eastAsia="zh-CN"/>
            </w:rPr>
            <w:t xml:space="preserve"> 预警</w:t>
          </w:r>
          <w:r>
            <w:tab/>
          </w:r>
          <w:r>
            <w:fldChar w:fldCharType="begin"/>
          </w:r>
          <w:r>
            <w:instrText xml:space="preserve"> PAGEREF _Toc4972 \h </w:instrText>
          </w:r>
          <w:r>
            <w:fldChar w:fldCharType="separate"/>
          </w:r>
          <w:r>
            <w:t>24</w:t>
          </w:r>
          <w:r>
            <w:fldChar w:fldCharType="end"/>
          </w:r>
          <w:r>
            <w:rPr>
              <w:rFonts w:hint="eastAsia" w:asciiTheme="minorEastAsia" w:hAnsiTheme="minorEastAsia" w:eastAsiaTheme="minorEastAsia" w:cstheme="minorEastAsia"/>
              <w:bCs/>
              <w:szCs w:val="32"/>
            </w:rPr>
            <w:fldChar w:fldCharType="end"/>
          </w:r>
        </w:p>
        <w:p w14:paraId="76B2C568">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_Toc21449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en-US" w:eastAsia="zh-CN"/>
            </w:rPr>
            <w:t>4.</w:t>
          </w:r>
          <w:r>
            <w:rPr>
              <w:rFonts w:hint="eastAsia" w:ascii="宋体" w:hAnsi="宋体" w:cs="宋体"/>
              <w:bCs/>
              <w:szCs w:val="28"/>
              <w:lang w:val="en-US" w:eastAsia="zh-CN"/>
            </w:rPr>
            <w:t>3</w:t>
          </w:r>
          <w:r>
            <w:rPr>
              <w:rFonts w:hint="eastAsia" w:ascii="宋体" w:hAnsi="宋体" w:eastAsia="宋体" w:cs="宋体"/>
              <w:bCs/>
              <w:szCs w:val="28"/>
              <w:lang w:val="en-US" w:eastAsia="zh-CN"/>
            </w:rPr>
            <w:t xml:space="preserve"> 信息报告与通报</w:t>
          </w:r>
          <w:r>
            <w:tab/>
          </w:r>
          <w:r>
            <w:fldChar w:fldCharType="begin"/>
          </w:r>
          <w:r>
            <w:instrText xml:space="preserve"> PAGEREF _Toc21449 \h </w:instrText>
          </w:r>
          <w:r>
            <w:fldChar w:fldCharType="separate"/>
          </w:r>
          <w:r>
            <w:t>28</w:t>
          </w:r>
          <w:r>
            <w:fldChar w:fldCharType="end"/>
          </w:r>
          <w:r>
            <w:rPr>
              <w:rFonts w:hint="eastAsia" w:asciiTheme="minorEastAsia" w:hAnsiTheme="minorEastAsia" w:eastAsiaTheme="minorEastAsia" w:cstheme="minorEastAsia"/>
              <w:bCs/>
              <w:szCs w:val="32"/>
            </w:rPr>
            <w:fldChar w:fldCharType="end"/>
          </w:r>
        </w:p>
        <w:p w14:paraId="27391C97">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_Toc1876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en-US" w:eastAsia="zh-CN"/>
            </w:rPr>
            <w:t>4.4 事态跟踪研判</w:t>
          </w:r>
          <w:r>
            <w:tab/>
          </w:r>
          <w:r>
            <w:fldChar w:fldCharType="begin"/>
          </w:r>
          <w:r>
            <w:instrText xml:space="preserve"> PAGEREF _Toc1876 \h </w:instrText>
          </w:r>
          <w:r>
            <w:fldChar w:fldCharType="separate"/>
          </w:r>
          <w:r>
            <w:t>29</w:t>
          </w:r>
          <w:r>
            <w:fldChar w:fldCharType="end"/>
          </w:r>
          <w:r>
            <w:rPr>
              <w:rFonts w:hint="eastAsia" w:asciiTheme="minorEastAsia" w:hAnsiTheme="minorEastAsia" w:eastAsiaTheme="minorEastAsia" w:cstheme="minorEastAsia"/>
              <w:bCs/>
              <w:szCs w:val="32"/>
            </w:rPr>
            <w:fldChar w:fldCharType="end"/>
          </w:r>
        </w:p>
        <w:p w14:paraId="51903AAD">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_Toc451 </w:instrText>
          </w:r>
          <w:r>
            <w:rPr>
              <w:rFonts w:hint="eastAsia" w:asciiTheme="minorEastAsia" w:hAnsiTheme="minorEastAsia" w:eastAsiaTheme="minorEastAsia" w:cstheme="minorEastAsia"/>
              <w:bCs/>
              <w:szCs w:val="32"/>
            </w:rPr>
            <w:fldChar w:fldCharType="separate"/>
          </w:r>
          <w:r>
            <w:rPr>
              <w:rFonts w:hint="eastAsia" w:ascii="宋体" w:hAnsi="宋体" w:cs="宋体"/>
              <w:bCs/>
              <w:szCs w:val="28"/>
              <w:lang w:val="en-US" w:eastAsia="zh-CN"/>
            </w:rPr>
            <w:t>4</w:t>
          </w:r>
          <w:r>
            <w:rPr>
              <w:rFonts w:hint="eastAsia" w:ascii="宋体" w:hAnsi="宋体" w:eastAsia="宋体" w:cs="宋体"/>
              <w:bCs/>
              <w:szCs w:val="28"/>
              <w:lang w:val="en-US" w:eastAsia="zh-CN"/>
            </w:rPr>
            <w:t>.5 应急监测</w:t>
          </w:r>
          <w:r>
            <w:tab/>
          </w:r>
          <w:r>
            <w:fldChar w:fldCharType="begin"/>
          </w:r>
          <w:r>
            <w:instrText xml:space="preserve"> PAGEREF _Toc451 \h </w:instrText>
          </w:r>
          <w:r>
            <w:fldChar w:fldCharType="separate"/>
          </w:r>
          <w:r>
            <w:t>29</w:t>
          </w:r>
          <w:r>
            <w:fldChar w:fldCharType="end"/>
          </w:r>
          <w:r>
            <w:rPr>
              <w:rFonts w:hint="eastAsia" w:asciiTheme="minorEastAsia" w:hAnsiTheme="minorEastAsia" w:eastAsiaTheme="minorEastAsia" w:cstheme="minorEastAsia"/>
              <w:bCs/>
              <w:szCs w:val="32"/>
            </w:rPr>
            <w:fldChar w:fldCharType="end"/>
          </w:r>
        </w:p>
        <w:p w14:paraId="0A9A9325">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_Toc14966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en-US" w:eastAsia="zh-CN"/>
            </w:rPr>
            <w:t>4.6 事故源排查与处置</w:t>
          </w:r>
          <w:r>
            <w:tab/>
          </w:r>
          <w:r>
            <w:fldChar w:fldCharType="begin"/>
          </w:r>
          <w:r>
            <w:instrText xml:space="preserve"> PAGEREF _Toc14966 \h </w:instrText>
          </w:r>
          <w:r>
            <w:fldChar w:fldCharType="separate"/>
          </w:r>
          <w:r>
            <w:t>32</w:t>
          </w:r>
          <w:r>
            <w:fldChar w:fldCharType="end"/>
          </w:r>
          <w:r>
            <w:rPr>
              <w:rFonts w:hint="eastAsia" w:asciiTheme="minorEastAsia" w:hAnsiTheme="minorEastAsia" w:eastAsiaTheme="minorEastAsia" w:cstheme="minorEastAsia"/>
              <w:bCs/>
              <w:szCs w:val="32"/>
            </w:rPr>
            <w:fldChar w:fldCharType="end"/>
          </w:r>
        </w:p>
        <w:p w14:paraId="4BFC9505">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_Toc8909 </w:instrText>
          </w:r>
          <w:r>
            <w:rPr>
              <w:rFonts w:hint="eastAsia" w:asciiTheme="minorEastAsia" w:hAnsiTheme="minorEastAsia" w:eastAsiaTheme="minorEastAsia" w:cstheme="minorEastAsia"/>
              <w:bCs/>
              <w:szCs w:val="32"/>
            </w:rPr>
            <w:fldChar w:fldCharType="separate"/>
          </w:r>
          <w:r>
            <w:rPr>
              <w:rFonts w:hint="eastAsia" w:ascii="宋体" w:hAnsi="宋体" w:cs="宋体"/>
              <w:bCs/>
              <w:szCs w:val="28"/>
              <w:lang w:val="en-US" w:eastAsia="zh-CN"/>
            </w:rPr>
            <w:t>4</w:t>
          </w:r>
          <w:r>
            <w:rPr>
              <w:rFonts w:hint="eastAsia" w:ascii="宋体" w:hAnsi="宋体" w:eastAsia="宋体" w:cs="宋体"/>
              <w:bCs/>
              <w:szCs w:val="28"/>
              <w:lang w:val="en-US" w:eastAsia="zh-CN"/>
            </w:rPr>
            <w:t>.7 应急处置</w:t>
          </w:r>
          <w:r>
            <w:tab/>
          </w:r>
          <w:r>
            <w:fldChar w:fldCharType="begin"/>
          </w:r>
          <w:r>
            <w:instrText xml:space="preserve"> PAGEREF _Toc8909 \h </w:instrText>
          </w:r>
          <w:r>
            <w:fldChar w:fldCharType="separate"/>
          </w:r>
          <w:r>
            <w:t>34</w:t>
          </w:r>
          <w:r>
            <w:fldChar w:fldCharType="end"/>
          </w:r>
          <w:r>
            <w:rPr>
              <w:rFonts w:hint="eastAsia" w:asciiTheme="minorEastAsia" w:hAnsiTheme="minorEastAsia" w:eastAsiaTheme="minorEastAsia" w:cstheme="minorEastAsia"/>
              <w:bCs/>
              <w:szCs w:val="32"/>
            </w:rPr>
            <w:fldChar w:fldCharType="end"/>
          </w:r>
        </w:p>
        <w:p w14:paraId="2D0F2F41">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_Toc21287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en-US" w:eastAsia="zh-CN"/>
            </w:rPr>
            <w:t>4.8 物资调集及应急设施启用</w:t>
          </w:r>
          <w:r>
            <w:tab/>
          </w:r>
          <w:r>
            <w:fldChar w:fldCharType="begin"/>
          </w:r>
          <w:r>
            <w:instrText xml:space="preserve"> PAGEREF _Toc21287 \h </w:instrText>
          </w:r>
          <w:r>
            <w:fldChar w:fldCharType="separate"/>
          </w:r>
          <w:r>
            <w:t>37</w:t>
          </w:r>
          <w:r>
            <w:fldChar w:fldCharType="end"/>
          </w:r>
          <w:r>
            <w:rPr>
              <w:rFonts w:hint="eastAsia" w:asciiTheme="minorEastAsia" w:hAnsiTheme="minorEastAsia" w:eastAsiaTheme="minorEastAsia" w:cstheme="minorEastAsia"/>
              <w:bCs/>
              <w:szCs w:val="32"/>
            </w:rPr>
            <w:fldChar w:fldCharType="end"/>
          </w:r>
        </w:p>
        <w:p w14:paraId="7938621B">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_Toc25581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en-US" w:eastAsia="zh-CN"/>
            </w:rPr>
            <w:t>4.9 舆情监测与信息发布</w:t>
          </w:r>
          <w:r>
            <w:tab/>
          </w:r>
          <w:r>
            <w:fldChar w:fldCharType="begin"/>
          </w:r>
          <w:r>
            <w:instrText xml:space="preserve"> PAGEREF _Toc25581 \h </w:instrText>
          </w:r>
          <w:r>
            <w:fldChar w:fldCharType="separate"/>
          </w:r>
          <w:r>
            <w:t>37</w:t>
          </w:r>
          <w:r>
            <w:fldChar w:fldCharType="end"/>
          </w:r>
          <w:r>
            <w:rPr>
              <w:rFonts w:hint="eastAsia" w:asciiTheme="minorEastAsia" w:hAnsiTheme="minorEastAsia" w:eastAsiaTheme="minorEastAsia" w:cstheme="minorEastAsia"/>
              <w:bCs/>
              <w:szCs w:val="32"/>
            </w:rPr>
            <w:fldChar w:fldCharType="end"/>
          </w:r>
        </w:p>
        <w:p w14:paraId="04BBA990">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_Toc29263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en-US" w:eastAsia="zh-CN"/>
            </w:rPr>
            <w:t>4.10 响应终止</w:t>
          </w:r>
          <w:r>
            <w:tab/>
          </w:r>
          <w:r>
            <w:fldChar w:fldCharType="begin"/>
          </w:r>
          <w:r>
            <w:instrText xml:space="preserve"> PAGEREF _Toc29263 \h </w:instrText>
          </w:r>
          <w:r>
            <w:fldChar w:fldCharType="separate"/>
          </w:r>
          <w:r>
            <w:t>38</w:t>
          </w:r>
          <w:r>
            <w:fldChar w:fldCharType="end"/>
          </w:r>
          <w:r>
            <w:rPr>
              <w:rFonts w:hint="eastAsia" w:asciiTheme="minorEastAsia" w:hAnsiTheme="minorEastAsia" w:eastAsiaTheme="minorEastAsia" w:cstheme="minorEastAsia"/>
              <w:bCs/>
              <w:szCs w:val="32"/>
            </w:rPr>
            <w:fldChar w:fldCharType="end"/>
          </w:r>
        </w:p>
        <w:p w14:paraId="0680B042">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_Toc21114 </w:instrText>
          </w:r>
          <w:r>
            <w:rPr>
              <w:rFonts w:hint="eastAsia" w:asciiTheme="minorEastAsia" w:hAnsiTheme="minorEastAsia" w:eastAsiaTheme="minorEastAsia" w:cstheme="minorEastAsia"/>
              <w:bCs/>
              <w:szCs w:val="32"/>
            </w:rPr>
            <w:fldChar w:fldCharType="separate"/>
          </w:r>
          <w:r>
            <w:rPr>
              <w:rFonts w:hint="eastAsia" w:cs="宋体"/>
              <w:bCs/>
              <w:szCs w:val="32"/>
              <w:lang w:val="en-US" w:eastAsia="zh-CN"/>
            </w:rPr>
            <w:t>5</w:t>
          </w:r>
          <w:r>
            <w:rPr>
              <w:rFonts w:hint="eastAsia" w:ascii="宋体" w:hAnsi="宋体" w:eastAsia="宋体" w:cs="宋体"/>
              <w:bCs/>
              <w:szCs w:val="32"/>
              <w:lang w:val="en-US" w:eastAsia="zh-CN"/>
            </w:rPr>
            <w:t xml:space="preserve"> </w:t>
          </w:r>
          <w:r>
            <w:rPr>
              <w:rFonts w:hint="eastAsia" w:cs="宋体"/>
              <w:bCs/>
              <w:szCs w:val="32"/>
              <w:lang w:val="en-US" w:eastAsia="zh-CN"/>
            </w:rPr>
            <w:t>后期工作</w:t>
          </w:r>
          <w:r>
            <w:tab/>
          </w:r>
          <w:r>
            <w:fldChar w:fldCharType="begin"/>
          </w:r>
          <w:r>
            <w:instrText xml:space="preserve"> PAGEREF _Toc21114 \h </w:instrText>
          </w:r>
          <w:r>
            <w:fldChar w:fldCharType="separate"/>
          </w:r>
          <w:r>
            <w:t>39</w:t>
          </w:r>
          <w:r>
            <w:fldChar w:fldCharType="end"/>
          </w:r>
          <w:r>
            <w:rPr>
              <w:rFonts w:hint="eastAsia" w:asciiTheme="minorEastAsia" w:hAnsiTheme="minorEastAsia" w:eastAsiaTheme="minorEastAsia" w:cstheme="minorEastAsia"/>
              <w:bCs/>
              <w:szCs w:val="32"/>
            </w:rPr>
            <w:fldChar w:fldCharType="end"/>
          </w:r>
        </w:p>
        <w:p w14:paraId="685395B7">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_Toc26547 </w:instrText>
          </w:r>
          <w:r>
            <w:rPr>
              <w:rFonts w:hint="eastAsia" w:asciiTheme="minorEastAsia" w:hAnsiTheme="minorEastAsia" w:eastAsiaTheme="minorEastAsia" w:cstheme="minorEastAsia"/>
              <w:bCs/>
              <w:szCs w:val="32"/>
            </w:rPr>
            <w:fldChar w:fldCharType="separate"/>
          </w:r>
          <w:r>
            <w:rPr>
              <w:rFonts w:hint="eastAsia" w:ascii="宋体" w:hAnsi="宋体" w:cs="宋体"/>
              <w:bCs/>
              <w:szCs w:val="28"/>
              <w:lang w:val="en-US" w:eastAsia="zh-CN"/>
            </w:rPr>
            <w:t>5</w:t>
          </w:r>
          <w:r>
            <w:rPr>
              <w:rFonts w:hint="eastAsia" w:ascii="宋体" w:hAnsi="宋体" w:eastAsia="宋体" w:cs="宋体"/>
              <w:bCs/>
              <w:szCs w:val="28"/>
              <w:lang w:val="en-US" w:eastAsia="zh-CN"/>
            </w:rPr>
            <w:t>.1 后期防控</w:t>
          </w:r>
          <w:r>
            <w:tab/>
          </w:r>
          <w:r>
            <w:fldChar w:fldCharType="begin"/>
          </w:r>
          <w:r>
            <w:instrText xml:space="preserve"> PAGEREF _Toc26547 \h </w:instrText>
          </w:r>
          <w:r>
            <w:fldChar w:fldCharType="separate"/>
          </w:r>
          <w:r>
            <w:t>39</w:t>
          </w:r>
          <w:r>
            <w:fldChar w:fldCharType="end"/>
          </w:r>
          <w:r>
            <w:rPr>
              <w:rFonts w:hint="eastAsia" w:asciiTheme="minorEastAsia" w:hAnsiTheme="minorEastAsia" w:eastAsiaTheme="minorEastAsia" w:cstheme="minorEastAsia"/>
              <w:bCs/>
              <w:szCs w:val="32"/>
            </w:rPr>
            <w:fldChar w:fldCharType="end"/>
          </w:r>
        </w:p>
        <w:p w14:paraId="7CB3B64D">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_Toc16331 </w:instrText>
          </w:r>
          <w:r>
            <w:rPr>
              <w:rFonts w:hint="eastAsia" w:asciiTheme="minorEastAsia" w:hAnsiTheme="minorEastAsia" w:eastAsiaTheme="minorEastAsia" w:cstheme="minorEastAsia"/>
              <w:bCs/>
              <w:szCs w:val="32"/>
            </w:rPr>
            <w:fldChar w:fldCharType="separate"/>
          </w:r>
          <w:r>
            <w:rPr>
              <w:rFonts w:hint="eastAsia" w:ascii="宋体" w:hAnsi="宋体" w:cs="宋体"/>
              <w:bCs/>
              <w:szCs w:val="28"/>
              <w:lang w:val="en-US" w:eastAsia="zh-CN"/>
            </w:rPr>
            <w:t>5</w:t>
          </w:r>
          <w:r>
            <w:rPr>
              <w:rFonts w:hint="eastAsia" w:ascii="宋体" w:hAnsi="宋体" w:eastAsia="宋体" w:cs="宋体"/>
              <w:bCs/>
              <w:szCs w:val="28"/>
              <w:lang w:val="en-US" w:eastAsia="zh-CN"/>
            </w:rPr>
            <w:t>.2 事件调查</w:t>
          </w:r>
          <w:r>
            <w:tab/>
          </w:r>
          <w:r>
            <w:fldChar w:fldCharType="begin"/>
          </w:r>
          <w:r>
            <w:instrText xml:space="preserve"> PAGEREF _Toc16331 \h </w:instrText>
          </w:r>
          <w:r>
            <w:fldChar w:fldCharType="separate"/>
          </w:r>
          <w:r>
            <w:t>40</w:t>
          </w:r>
          <w:r>
            <w:fldChar w:fldCharType="end"/>
          </w:r>
          <w:r>
            <w:rPr>
              <w:rFonts w:hint="eastAsia" w:asciiTheme="minorEastAsia" w:hAnsiTheme="minorEastAsia" w:eastAsiaTheme="minorEastAsia" w:cstheme="minorEastAsia"/>
              <w:bCs/>
              <w:szCs w:val="32"/>
            </w:rPr>
            <w:fldChar w:fldCharType="end"/>
          </w:r>
        </w:p>
        <w:p w14:paraId="2D9D04BA">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_Toc1384 </w:instrText>
          </w:r>
          <w:r>
            <w:rPr>
              <w:rFonts w:hint="eastAsia" w:asciiTheme="minorEastAsia" w:hAnsiTheme="minorEastAsia" w:eastAsiaTheme="minorEastAsia" w:cstheme="minorEastAsia"/>
              <w:bCs/>
              <w:szCs w:val="32"/>
            </w:rPr>
            <w:fldChar w:fldCharType="separate"/>
          </w:r>
          <w:r>
            <w:rPr>
              <w:rFonts w:hint="eastAsia" w:ascii="宋体" w:hAnsi="宋体" w:cs="宋体"/>
              <w:bCs/>
              <w:szCs w:val="28"/>
              <w:lang w:val="en-US" w:eastAsia="zh-CN"/>
            </w:rPr>
            <w:t>5</w:t>
          </w:r>
          <w:r>
            <w:rPr>
              <w:rFonts w:hint="eastAsia" w:ascii="宋体" w:hAnsi="宋体" w:eastAsia="宋体" w:cs="宋体"/>
              <w:bCs/>
              <w:szCs w:val="28"/>
              <w:lang w:val="en-US" w:eastAsia="zh-CN"/>
            </w:rPr>
            <w:t>.3 损害评估</w:t>
          </w:r>
          <w:r>
            <w:tab/>
          </w:r>
          <w:r>
            <w:fldChar w:fldCharType="begin"/>
          </w:r>
          <w:r>
            <w:instrText xml:space="preserve"> PAGEREF _Toc1384 \h </w:instrText>
          </w:r>
          <w:r>
            <w:fldChar w:fldCharType="separate"/>
          </w:r>
          <w:r>
            <w:t>40</w:t>
          </w:r>
          <w:r>
            <w:fldChar w:fldCharType="end"/>
          </w:r>
          <w:r>
            <w:rPr>
              <w:rFonts w:hint="eastAsia" w:asciiTheme="minorEastAsia" w:hAnsiTheme="minorEastAsia" w:eastAsiaTheme="minorEastAsia" w:cstheme="minorEastAsia"/>
              <w:bCs/>
              <w:szCs w:val="32"/>
            </w:rPr>
            <w:fldChar w:fldCharType="end"/>
          </w:r>
        </w:p>
        <w:p w14:paraId="5BE0B2FC">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_Toc19281 </w:instrText>
          </w:r>
          <w:r>
            <w:rPr>
              <w:rFonts w:hint="eastAsia" w:asciiTheme="minorEastAsia" w:hAnsiTheme="minorEastAsia" w:eastAsiaTheme="minorEastAsia" w:cstheme="minorEastAsia"/>
              <w:bCs/>
              <w:szCs w:val="32"/>
            </w:rPr>
            <w:fldChar w:fldCharType="separate"/>
          </w:r>
          <w:r>
            <w:rPr>
              <w:rFonts w:hint="eastAsia" w:ascii="宋体" w:hAnsi="宋体" w:cs="宋体"/>
              <w:bCs/>
              <w:szCs w:val="28"/>
              <w:lang w:val="en-US" w:eastAsia="zh-CN"/>
            </w:rPr>
            <w:t>5</w:t>
          </w:r>
          <w:r>
            <w:rPr>
              <w:rFonts w:hint="eastAsia" w:ascii="宋体" w:hAnsi="宋体" w:eastAsia="宋体" w:cs="宋体"/>
              <w:bCs/>
              <w:szCs w:val="28"/>
              <w:lang w:val="en-US" w:eastAsia="zh-CN"/>
            </w:rPr>
            <w:t>.4 善后处置</w:t>
          </w:r>
          <w:r>
            <w:tab/>
          </w:r>
          <w:r>
            <w:fldChar w:fldCharType="begin"/>
          </w:r>
          <w:r>
            <w:instrText xml:space="preserve"> PAGEREF _Toc19281 \h </w:instrText>
          </w:r>
          <w:r>
            <w:fldChar w:fldCharType="separate"/>
          </w:r>
          <w:r>
            <w:t>40</w:t>
          </w:r>
          <w:r>
            <w:fldChar w:fldCharType="end"/>
          </w:r>
          <w:r>
            <w:rPr>
              <w:rFonts w:hint="eastAsia" w:asciiTheme="minorEastAsia" w:hAnsiTheme="minorEastAsia" w:eastAsiaTheme="minorEastAsia" w:cstheme="minorEastAsia"/>
              <w:bCs/>
              <w:szCs w:val="32"/>
            </w:rPr>
            <w:fldChar w:fldCharType="end"/>
          </w:r>
        </w:p>
        <w:p w14:paraId="3654A172">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_Toc29702 </w:instrText>
          </w:r>
          <w:r>
            <w:rPr>
              <w:rFonts w:hint="eastAsia" w:asciiTheme="minorEastAsia" w:hAnsiTheme="minorEastAsia" w:eastAsiaTheme="minorEastAsia" w:cstheme="minorEastAsia"/>
              <w:bCs/>
              <w:szCs w:val="32"/>
            </w:rPr>
            <w:fldChar w:fldCharType="separate"/>
          </w:r>
          <w:r>
            <w:rPr>
              <w:rFonts w:hint="eastAsia" w:cs="宋体"/>
              <w:bCs/>
              <w:szCs w:val="32"/>
              <w:lang w:val="en-US" w:eastAsia="zh-CN"/>
            </w:rPr>
            <w:t>6</w:t>
          </w:r>
          <w:r>
            <w:rPr>
              <w:rFonts w:hint="eastAsia" w:ascii="宋体" w:hAnsi="宋体" w:eastAsia="宋体" w:cs="宋体"/>
              <w:bCs/>
              <w:szCs w:val="32"/>
              <w:lang w:val="en-US" w:eastAsia="zh-CN"/>
            </w:rPr>
            <w:t xml:space="preserve"> 应急保障</w:t>
          </w:r>
          <w:r>
            <w:tab/>
          </w:r>
          <w:r>
            <w:fldChar w:fldCharType="begin"/>
          </w:r>
          <w:r>
            <w:instrText xml:space="preserve"> PAGEREF _Toc29702 \h </w:instrText>
          </w:r>
          <w:r>
            <w:fldChar w:fldCharType="separate"/>
          </w:r>
          <w:r>
            <w:t>42</w:t>
          </w:r>
          <w:r>
            <w:fldChar w:fldCharType="end"/>
          </w:r>
          <w:r>
            <w:rPr>
              <w:rFonts w:hint="eastAsia" w:asciiTheme="minorEastAsia" w:hAnsiTheme="minorEastAsia" w:eastAsiaTheme="minorEastAsia" w:cstheme="minorEastAsia"/>
              <w:bCs/>
              <w:szCs w:val="32"/>
            </w:rPr>
            <w:fldChar w:fldCharType="end"/>
          </w:r>
        </w:p>
        <w:p w14:paraId="1B3EF0F1">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_Toc3718 </w:instrText>
          </w:r>
          <w:r>
            <w:rPr>
              <w:rFonts w:hint="eastAsia" w:asciiTheme="minorEastAsia" w:hAnsiTheme="minorEastAsia" w:eastAsiaTheme="minorEastAsia" w:cstheme="minorEastAsia"/>
              <w:bCs/>
              <w:szCs w:val="32"/>
            </w:rPr>
            <w:fldChar w:fldCharType="separate"/>
          </w:r>
          <w:r>
            <w:rPr>
              <w:rFonts w:hint="eastAsia" w:ascii="宋体" w:hAnsi="宋体" w:cs="宋体"/>
              <w:bCs/>
              <w:szCs w:val="28"/>
              <w:lang w:val="en-US" w:eastAsia="zh-CN"/>
            </w:rPr>
            <w:t>6</w:t>
          </w:r>
          <w:r>
            <w:rPr>
              <w:rFonts w:hint="eastAsia" w:ascii="宋体" w:hAnsi="宋体" w:eastAsia="宋体" w:cs="宋体"/>
              <w:bCs/>
              <w:szCs w:val="28"/>
              <w:lang w:val="en-US" w:eastAsia="zh-CN"/>
            </w:rPr>
            <w:t>.1 队伍保障</w:t>
          </w:r>
          <w:r>
            <w:tab/>
          </w:r>
          <w:r>
            <w:fldChar w:fldCharType="begin"/>
          </w:r>
          <w:r>
            <w:instrText xml:space="preserve"> PAGEREF _Toc3718 \h </w:instrText>
          </w:r>
          <w:r>
            <w:fldChar w:fldCharType="separate"/>
          </w:r>
          <w:r>
            <w:t>42</w:t>
          </w:r>
          <w:r>
            <w:fldChar w:fldCharType="end"/>
          </w:r>
          <w:r>
            <w:rPr>
              <w:rFonts w:hint="eastAsia" w:asciiTheme="minorEastAsia" w:hAnsiTheme="minorEastAsia" w:eastAsiaTheme="minorEastAsia" w:cstheme="minorEastAsia"/>
              <w:bCs/>
              <w:szCs w:val="32"/>
            </w:rPr>
            <w:fldChar w:fldCharType="end"/>
          </w:r>
        </w:p>
        <w:p w14:paraId="3C3557C7">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_Toc13657 </w:instrText>
          </w:r>
          <w:r>
            <w:rPr>
              <w:rFonts w:hint="eastAsia" w:asciiTheme="minorEastAsia" w:hAnsiTheme="minorEastAsia" w:eastAsiaTheme="minorEastAsia" w:cstheme="minorEastAsia"/>
              <w:bCs/>
              <w:szCs w:val="32"/>
            </w:rPr>
            <w:fldChar w:fldCharType="separate"/>
          </w:r>
          <w:r>
            <w:rPr>
              <w:rFonts w:hint="eastAsia" w:ascii="宋体" w:hAnsi="宋体" w:cs="宋体"/>
              <w:bCs/>
              <w:szCs w:val="28"/>
              <w:lang w:val="en-US" w:eastAsia="zh-CN"/>
            </w:rPr>
            <w:t>6</w:t>
          </w:r>
          <w:r>
            <w:rPr>
              <w:rFonts w:hint="eastAsia" w:ascii="宋体" w:hAnsi="宋体" w:eastAsia="宋体" w:cs="宋体"/>
              <w:bCs/>
              <w:szCs w:val="28"/>
              <w:lang w:val="en-US" w:eastAsia="zh-CN"/>
            </w:rPr>
            <w:t>.2 物资、装备与资金保障</w:t>
          </w:r>
          <w:r>
            <w:tab/>
          </w:r>
          <w:r>
            <w:fldChar w:fldCharType="begin"/>
          </w:r>
          <w:r>
            <w:instrText xml:space="preserve"> PAGEREF _Toc13657 \h </w:instrText>
          </w:r>
          <w:r>
            <w:fldChar w:fldCharType="separate"/>
          </w:r>
          <w:r>
            <w:t>42</w:t>
          </w:r>
          <w:r>
            <w:fldChar w:fldCharType="end"/>
          </w:r>
          <w:r>
            <w:rPr>
              <w:rFonts w:hint="eastAsia" w:asciiTheme="minorEastAsia" w:hAnsiTheme="minorEastAsia" w:eastAsiaTheme="minorEastAsia" w:cstheme="minorEastAsia"/>
              <w:bCs/>
              <w:szCs w:val="32"/>
            </w:rPr>
            <w:fldChar w:fldCharType="end"/>
          </w:r>
        </w:p>
        <w:p w14:paraId="04FAF404">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_Toc347 </w:instrText>
          </w:r>
          <w:r>
            <w:rPr>
              <w:rFonts w:hint="eastAsia" w:asciiTheme="minorEastAsia" w:hAnsiTheme="minorEastAsia" w:eastAsiaTheme="minorEastAsia" w:cstheme="minorEastAsia"/>
              <w:bCs/>
              <w:szCs w:val="32"/>
            </w:rPr>
            <w:fldChar w:fldCharType="separate"/>
          </w:r>
          <w:r>
            <w:rPr>
              <w:rFonts w:hint="eastAsia" w:ascii="宋体" w:hAnsi="宋体" w:cs="宋体"/>
              <w:bCs/>
              <w:szCs w:val="28"/>
              <w:lang w:val="en-US" w:eastAsia="zh-CN"/>
            </w:rPr>
            <w:t>6</w:t>
          </w:r>
          <w:r>
            <w:rPr>
              <w:rFonts w:hint="eastAsia" w:ascii="宋体" w:hAnsi="宋体" w:eastAsia="宋体" w:cs="宋体"/>
              <w:bCs/>
              <w:szCs w:val="28"/>
              <w:lang w:val="en-US" w:eastAsia="zh-CN"/>
            </w:rPr>
            <w:t>.3 通信、交通与运输保障</w:t>
          </w:r>
          <w:r>
            <w:tab/>
          </w:r>
          <w:r>
            <w:fldChar w:fldCharType="begin"/>
          </w:r>
          <w:r>
            <w:instrText xml:space="preserve"> PAGEREF _Toc347 \h </w:instrText>
          </w:r>
          <w:r>
            <w:fldChar w:fldCharType="separate"/>
          </w:r>
          <w:r>
            <w:t>42</w:t>
          </w:r>
          <w:r>
            <w:fldChar w:fldCharType="end"/>
          </w:r>
          <w:r>
            <w:rPr>
              <w:rFonts w:hint="eastAsia" w:asciiTheme="minorEastAsia" w:hAnsiTheme="minorEastAsia" w:eastAsiaTheme="minorEastAsia" w:cstheme="minorEastAsia"/>
              <w:bCs/>
              <w:szCs w:val="32"/>
            </w:rPr>
            <w:fldChar w:fldCharType="end"/>
          </w:r>
        </w:p>
        <w:p w14:paraId="378AD939">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_Toc12696 </w:instrText>
          </w:r>
          <w:r>
            <w:rPr>
              <w:rFonts w:hint="eastAsia" w:asciiTheme="minorEastAsia" w:hAnsiTheme="minorEastAsia" w:eastAsiaTheme="minorEastAsia" w:cstheme="minorEastAsia"/>
              <w:bCs/>
              <w:szCs w:val="32"/>
            </w:rPr>
            <w:fldChar w:fldCharType="separate"/>
          </w:r>
          <w:r>
            <w:rPr>
              <w:rFonts w:hint="eastAsia" w:ascii="宋体" w:hAnsi="宋体" w:cs="宋体"/>
              <w:bCs/>
              <w:szCs w:val="28"/>
              <w:lang w:val="en-US" w:eastAsia="zh-CN"/>
            </w:rPr>
            <w:t>6</w:t>
          </w:r>
          <w:r>
            <w:rPr>
              <w:rFonts w:hint="eastAsia" w:ascii="宋体" w:hAnsi="宋体" w:eastAsia="宋体" w:cs="宋体"/>
              <w:bCs/>
              <w:szCs w:val="28"/>
              <w:lang w:val="en-US" w:eastAsia="zh-CN"/>
            </w:rPr>
            <w:t>.4 技术保障</w:t>
          </w:r>
          <w:r>
            <w:tab/>
          </w:r>
          <w:r>
            <w:fldChar w:fldCharType="begin"/>
          </w:r>
          <w:r>
            <w:instrText xml:space="preserve"> PAGEREF _Toc12696 \h </w:instrText>
          </w:r>
          <w:r>
            <w:fldChar w:fldCharType="separate"/>
          </w:r>
          <w:r>
            <w:t>43</w:t>
          </w:r>
          <w:r>
            <w:fldChar w:fldCharType="end"/>
          </w:r>
          <w:r>
            <w:rPr>
              <w:rFonts w:hint="eastAsia" w:asciiTheme="minorEastAsia" w:hAnsiTheme="minorEastAsia" w:eastAsiaTheme="minorEastAsia" w:cstheme="minorEastAsia"/>
              <w:bCs/>
              <w:szCs w:val="32"/>
            </w:rPr>
            <w:fldChar w:fldCharType="end"/>
          </w:r>
        </w:p>
        <w:p w14:paraId="4923B7F6">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_Toc8967 </w:instrText>
          </w:r>
          <w:r>
            <w:rPr>
              <w:rFonts w:hint="eastAsia" w:asciiTheme="minorEastAsia" w:hAnsiTheme="minorEastAsia" w:eastAsiaTheme="minorEastAsia" w:cstheme="minorEastAsia"/>
              <w:bCs/>
              <w:szCs w:val="32"/>
            </w:rPr>
            <w:fldChar w:fldCharType="separate"/>
          </w:r>
          <w:r>
            <w:rPr>
              <w:rFonts w:hint="eastAsia" w:ascii="宋体" w:hAnsi="宋体" w:cs="宋体"/>
              <w:bCs/>
              <w:kern w:val="2"/>
              <w:szCs w:val="32"/>
              <w:lang w:val="en-US" w:eastAsia="zh-CN" w:bidi="ar-SA"/>
            </w:rPr>
            <w:t>7</w:t>
          </w:r>
          <w:r>
            <w:rPr>
              <w:rFonts w:hint="eastAsia" w:ascii="宋体" w:hAnsi="宋体" w:eastAsia="宋体" w:cs="宋体"/>
              <w:bCs/>
              <w:kern w:val="2"/>
              <w:szCs w:val="32"/>
              <w:lang w:val="en-US" w:eastAsia="zh-CN" w:bidi="ar-SA"/>
            </w:rPr>
            <w:t xml:space="preserve"> 监督管理</w:t>
          </w:r>
          <w:r>
            <w:tab/>
          </w:r>
          <w:r>
            <w:fldChar w:fldCharType="begin"/>
          </w:r>
          <w:r>
            <w:instrText xml:space="preserve"> PAGEREF _Toc8967 \h </w:instrText>
          </w:r>
          <w:r>
            <w:fldChar w:fldCharType="separate"/>
          </w:r>
          <w:r>
            <w:t>44</w:t>
          </w:r>
          <w:r>
            <w:fldChar w:fldCharType="end"/>
          </w:r>
          <w:r>
            <w:rPr>
              <w:rFonts w:hint="eastAsia" w:asciiTheme="minorEastAsia" w:hAnsiTheme="minorEastAsia" w:eastAsiaTheme="minorEastAsia" w:cstheme="minorEastAsia"/>
              <w:bCs/>
              <w:szCs w:val="32"/>
            </w:rPr>
            <w:fldChar w:fldCharType="end"/>
          </w:r>
        </w:p>
        <w:p w14:paraId="4A01BB2D">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_Toc19317 </w:instrText>
          </w:r>
          <w:r>
            <w:rPr>
              <w:rFonts w:hint="eastAsia" w:asciiTheme="minorEastAsia" w:hAnsiTheme="minorEastAsia" w:eastAsiaTheme="minorEastAsia" w:cstheme="minorEastAsia"/>
              <w:bCs/>
              <w:szCs w:val="32"/>
            </w:rPr>
            <w:fldChar w:fldCharType="separate"/>
          </w:r>
          <w:r>
            <w:rPr>
              <w:rFonts w:hint="eastAsia" w:ascii="宋体" w:hAnsi="宋体" w:cs="宋体"/>
              <w:bCs/>
              <w:kern w:val="2"/>
              <w:szCs w:val="32"/>
              <w:lang w:val="en-US" w:eastAsia="zh-CN" w:bidi="ar-SA"/>
            </w:rPr>
            <w:t>7</w:t>
          </w:r>
          <w:r>
            <w:rPr>
              <w:rFonts w:hint="eastAsia" w:ascii="宋体" w:hAnsi="宋体" w:eastAsia="宋体" w:cs="宋体"/>
              <w:bCs/>
              <w:kern w:val="2"/>
              <w:szCs w:val="32"/>
              <w:lang w:val="en-US" w:eastAsia="zh-CN" w:bidi="ar-SA"/>
            </w:rPr>
            <w:t>.1 应急预案演练</w:t>
          </w:r>
          <w:r>
            <w:tab/>
          </w:r>
          <w:r>
            <w:fldChar w:fldCharType="begin"/>
          </w:r>
          <w:r>
            <w:instrText xml:space="preserve"> PAGEREF _Toc19317 \h </w:instrText>
          </w:r>
          <w:r>
            <w:fldChar w:fldCharType="separate"/>
          </w:r>
          <w:r>
            <w:t>44</w:t>
          </w:r>
          <w:r>
            <w:fldChar w:fldCharType="end"/>
          </w:r>
          <w:r>
            <w:rPr>
              <w:rFonts w:hint="eastAsia" w:asciiTheme="minorEastAsia" w:hAnsiTheme="minorEastAsia" w:eastAsiaTheme="minorEastAsia" w:cstheme="minorEastAsia"/>
              <w:bCs/>
              <w:szCs w:val="32"/>
            </w:rPr>
            <w:fldChar w:fldCharType="end"/>
          </w:r>
        </w:p>
        <w:p w14:paraId="1D6CD9CF">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_Toc4714 </w:instrText>
          </w:r>
          <w:r>
            <w:rPr>
              <w:rFonts w:hint="eastAsia" w:asciiTheme="minorEastAsia" w:hAnsiTheme="minorEastAsia" w:eastAsiaTheme="minorEastAsia" w:cstheme="minorEastAsia"/>
              <w:bCs/>
              <w:szCs w:val="32"/>
            </w:rPr>
            <w:fldChar w:fldCharType="separate"/>
          </w:r>
          <w:r>
            <w:rPr>
              <w:rFonts w:hint="eastAsia" w:ascii="宋体" w:hAnsi="宋体" w:cs="宋体"/>
              <w:bCs/>
              <w:kern w:val="2"/>
              <w:szCs w:val="32"/>
              <w:lang w:val="en-US" w:eastAsia="zh-CN" w:bidi="ar-SA"/>
            </w:rPr>
            <w:t>7</w:t>
          </w:r>
          <w:r>
            <w:rPr>
              <w:rFonts w:hint="eastAsia" w:ascii="宋体" w:hAnsi="宋体" w:eastAsia="宋体" w:cs="宋体"/>
              <w:bCs/>
              <w:kern w:val="2"/>
              <w:szCs w:val="32"/>
              <w:lang w:val="en-US" w:eastAsia="zh-CN" w:bidi="ar-SA"/>
            </w:rPr>
            <w:t>.2 宣传</w:t>
          </w:r>
          <w:r>
            <w:tab/>
          </w:r>
          <w:r>
            <w:fldChar w:fldCharType="begin"/>
          </w:r>
          <w:r>
            <w:instrText xml:space="preserve"> PAGEREF _Toc4714 \h </w:instrText>
          </w:r>
          <w:r>
            <w:fldChar w:fldCharType="separate"/>
          </w:r>
          <w:r>
            <w:t>44</w:t>
          </w:r>
          <w:r>
            <w:fldChar w:fldCharType="end"/>
          </w:r>
          <w:r>
            <w:rPr>
              <w:rFonts w:hint="eastAsia" w:asciiTheme="minorEastAsia" w:hAnsiTheme="minorEastAsia" w:eastAsiaTheme="minorEastAsia" w:cstheme="minorEastAsia"/>
              <w:bCs/>
              <w:szCs w:val="32"/>
            </w:rPr>
            <w:fldChar w:fldCharType="end"/>
          </w:r>
        </w:p>
        <w:p w14:paraId="0E200B24">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_Toc6526 </w:instrText>
          </w:r>
          <w:r>
            <w:rPr>
              <w:rFonts w:hint="eastAsia" w:asciiTheme="minorEastAsia" w:hAnsiTheme="minorEastAsia" w:eastAsiaTheme="minorEastAsia" w:cstheme="minorEastAsia"/>
              <w:bCs/>
              <w:szCs w:val="32"/>
            </w:rPr>
            <w:fldChar w:fldCharType="separate"/>
          </w:r>
          <w:r>
            <w:rPr>
              <w:rFonts w:hint="eastAsia" w:ascii="宋体" w:hAnsi="宋体" w:cs="宋体"/>
              <w:bCs/>
              <w:kern w:val="2"/>
              <w:szCs w:val="32"/>
              <w:lang w:val="en-US" w:eastAsia="zh-CN" w:bidi="ar-SA"/>
            </w:rPr>
            <w:t>7</w:t>
          </w:r>
          <w:r>
            <w:rPr>
              <w:rFonts w:hint="eastAsia" w:ascii="宋体" w:hAnsi="宋体" w:eastAsia="宋体" w:cs="宋体"/>
              <w:bCs/>
              <w:kern w:val="2"/>
              <w:szCs w:val="32"/>
              <w:lang w:val="en-US" w:eastAsia="zh-CN" w:bidi="ar-SA"/>
            </w:rPr>
            <w:t>.3 培训</w:t>
          </w:r>
          <w:r>
            <w:tab/>
          </w:r>
          <w:r>
            <w:fldChar w:fldCharType="begin"/>
          </w:r>
          <w:r>
            <w:instrText xml:space="preserve"> PAGEREF _Toc6526 \h </w:instrText>
          </w:r>
          <w:r>
            <w:fldChar w:fldCharType="separate"/>
          </w:r>
          <w:r>
            <w:t>44</w:t>
          </w:r>
          <w:r>
            <w:fldChar w:fldCharType="end"/>
          </w:r>
          <w:r>
            <w:rPr>
              <w:rFonts w:hint="eastAsia" w:asciiTheme="minorEastAsia" w:hAnsiTheme="minorEastAsia" w:eastAsiaTheme="minorEastAsia" w:cstheme="minorEastAsia"/>
              <w:bCs/>
              <w:szCs w:val="32"/>
            </w:rPr>
            <w:fldChar w:fldCharType="end"/>
          </w:r>
        </w:p>
        <w:p w14:paraId="0243EF81">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_Toc23132 </w:instrText>
          </w:r>
          <w:r>
            <w:rPr>
              <w:rFonts w:hint="eastAsia" w:asciiTheme="minorEastAsia" w:hAnsiTheme="minorEastAsia" w:eastAsiaTheme="minorEastAsia" w:cstheme="minorEastAsia"/>
              <w:bCs/>
              <w:szCs w:val="32"/>
            </w:rPr>
            <w:fldChar w:fldCharType="separate"/>
          </w:r>
          <w:r>
            <w:rPr>
              <w:rFonts w:hint="eastAsia" w:ascii="宋体" w:hAnsi="宋体" w:cs="宋体"/>
              <w:bCs/>
              <w:kern w:val="2"/>
              <w:szCs w:val="32"/>
              <w:lang w:val="en-US" w:eastAsia="zh-CN" w:bidi="ar-SA"/>
            </w:rPr>
            <w:t>7</w:t>
          </w:r>
          <w:r>
            <w:rPr>
              <w:rFonts w:hint="eastAsia" w:ascii="宋体" w:hAnsi="宋体" w:eastAsia="宋体" w:cs="宋体"/>
              <w:bCs/>
              <w:kern w:val="2"/>
              <w:szCs w:val="32"/>
              <w:lang w:val="en-US" w:eastAsia="zh-CN" w:bidi="ar-SA"/>
            </w:rPr>
            <w:t>.4 预案管理</w:t>
          </w:r>
          <w:r>
            <w:tab/>
          </w:r>
          <w:r>
            <w:fldChar w:fldCharType="begin"/>
          </w:r>
          <w:r>
            <w:instrText xml:space="preserve"> PAGEREF _Toc23132 \h </w:instrText>
          </w:r>
          <w:r>
            <w:fldChar w:fldCharType="separate"/>
          </w:r>
          <w:r>
            <w:t>44</w:t>
          </w:r>
          <w:r>
            <w:fldChar w:fldCharType="end"/>
          </w:r>
          <w:r>
            <w:rPr>
              <w:rFonts w:hint="eastAsia" w:asciiTheme="minorEastAsia" w:hAnsiTheme="minorEastAsia" w:eastAsiaTheme="minorEastAsia" w:cstheme="minorEastAsia"/>
              <w:bCs/>
              <w:szCs w:val="32"/>
            </w:rPr>
            <w:fldChar w:fldCharType="end"/>
          </w:r>
        </w:p>
        <w:p w14:paraId="10719719">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_Toc6050 </w:instrText>
          </w:r>
          <w:r>
            <w:rPr>
              <w:rFonts w:hint="eastAsia" w:asciiTheme="minorEastAsia" w:hAnsiTheme="minorEastAsia" w:eastAsiaTheme="minorEastAsia" w:cstheme="minorEastAsia"/>
              <w:bCs/>
              <w:szCs w:val="32"/>
            </w:rPr>
            <w:fldChar w:fldCharType="separate"/>
          </w:r>
          <w:r>
            <w:rPr>
              <w:rFonts w:hint="eastAsia" w:ascii="宋体" w:hAnsi="宋体" w:cs="宋体"/>
              <w:bCs/>
              <w:kern w:val="2"/>
              <w:szCs w:val="32"/>
              <w:lang w:val="en-US" w:eastAsia="zh-CN" w:bidi="ar-SA"/>
            </w:rPr>
            <w:t>8</w:t>
          </w:r>
          <w:r>
            <w:rPr>
              <w:rFonts w:hint="eastAsia" w:ascii="宋体" w:hAnsi="宋体" w:eastAsia="宋体" w:cs="宋体"/>
              <w:bCs/>
              <w:kern w:val="2"/>
              <w:szCs w:val="32"/>
              <w:lang w:val="en-US" w:eastAsia="zh-CN" w:bidi="ar-SA"/>
            </w:rPr>
            <w:t xml:space="preserve"> 附件</w:t>
          </w:r>
          <w:r>
            <w:tab/>
          </w:r>
          <w:r>
            <w:fldChar w:fldCharType="begin"/>
          </w:r>
          <w:r>
            <w:instrText xml:space="preserve"> PAGEREF _Toc6050 \h </w:instrText>
          </w:r>
          <w:r>
            <w:fldChar w:fldCharType="separate"/>
          </w:r>
          <w:r>
            <w:t>46</w:t>
          </w:r>
          <w:r>
            <w:fldChar w:fldCharType="end"/>
          </w:r>
          <w:r>
            <w:rPr>
              <w:rFonts w:hint="eastAsia" w:asciiTheme="minorEastAsia" w:hAnsiTheme="minorEastAsia" w:eastAsiaTheme="minorEastAsia" w:cstheme="minorEastAsia"/>
              <w:bCs/>
              <w:szCs w:val="32"/>
            </w:rPr>
            <w:fldChar w:fldCharType="end"/>
          </w:r>
        </w:p>
        <w:p w14:paraId="45CF907B">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b/>
              <w:bCs/>
              <w:kern w:val="2"/>
              <w:sz w:val="32"/>
              <w:szCs w:val="32"/>
              <w:lang w:val="zh-CN" w:eastAsia="zh-CN" w:bidi="zh-CN"/>
            </w:rPr>
          </w:pPr>
          <w:r>
            <w:rPr>
              <w:rFonts w:hint="eastAsia" w:asciiTheme="minorEastAsia" w:hAnsiTheme="minorEastAsia" w:eastAsiaTheme="minorEastAsia" w:cstheme="minorEastAsia"/>
              <w:bCs/>
              <w:szCs w:val="32"/>
            </w:rPr>
            <w:fldChar w:fldCharType="end"/>
          </w:r>
        </w:p>
      </w:sdtContent>
    </w:sdt>
    <w:p w14:paraId="54539CB1">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b/>
          <w:bCs/>
          <w:kern w:val="2"/>
          <w:sz w:val="32"/>
          <w:szCs w:val="32"/>
          <w:lang w:val="zh-CN" w:eastAsia="zh-CN" w:bidi="zh-CN"/>
        </w:rPr>
        <w:sectPr>
          <w:footerReference r:id="rId6" w:type="first"/>
          <w:headerReference r:id="rId3" w:type="default"/>
          <w:footerReference r:id="rId4" w:type="default"/>
          <w:footerReference r:id="rId5" w:type="even"/>
          <w:pgSz w:w="11906" w:h="16838"/>
          <w:pgMar w:top="1440" w:right="1440" w:bottom="1440" w:left="1440" w:header="1134" w:footer="992" w:gutter="0"/>
          <w:pgBorders>
            <w:top w:val="none" w:sz="0" w:space="0"/>
            <w:left w:val="none" w:sz="0" w:space="0"/>
            <w:bottom w:val="none" w:sz="0" w:space="0"/>
            <w:right w:val="none" w:sz="0" w:space="0"/>
          </w:pgBorders>
          <w:pgNumType w:fmt="decimal" w:start="1"/>
          <w:cols w:space="720" w:num="1"/>
          <w:docGrid w:type="lines" w:linePitch="318" w:charSpace="0"/>
        </w:sectPr>
      </w:pPr>
    </w:p>
    <w:p w14:paraId="231F5401">
      <w:pPr>
        <w:pStyle w:val="15"/>
        <w:keepNext w:val="0"/>
        <w:keepLines w:val="0"/>
        <w:pageBreakBefore w:val="0"/>
        <w:widowControl/>
        <w:kinsoku/>
        <w:wordWrap/>
        <w:overflowPunct/>
        <w:topLinePunct w:val="0"/>
        <w:autoSpaceDE/>
        <w:autoSpaceDN/>
        <w:bidi w:val="0"/>
        <w:adjustRightInd w:val="0"/>
        <w:snapToGrid/>
        <w:spacing w:beforeAutospacing="0" w:line="360" w:lineRule="auto"/>
        <w:ind w:firstLine="0" w:firstLineChars="0"/>
        <w:jc w:val="center"/>
        <w:textAlignment w:val="auto"/>
        <w:outlineLvl w:val="0"/>
        <w:rPr>
          <w:rStyle w:val="19"/>
          <w:rFonts w:hint="eastAsia" w:ascii="宋体" w:hAnsi="宋体" w:eastAsia="宋体" w:cs="宋体"/>
          <w:b/>
          <w:bCs/>
          <w:color w:val="000000"/>
          <w:sz w:val="32"/>
          <w:szCs w:val="32"/>
          <w:lang w:val="en-US" w:eastAsia="zh-CN"/>
        </w:rPr>
      </w:pPr>
      <w:bookmarkStart w:id="0" w:name="_Toc4877"/>
      <w:bookmarkStart w:id="1" w:name="_Toc7210"/>
      <w:r>
        <w:rPr>
          <w:rStyle w:val="19"/>
          <w:rFonts w:hint="eastAsia" w:ascii="宋体" w:hAnsi="宋体" w:eastAsia="宋体" w:cs="宋体"/>
          <w:b/>
          <w:bCs/>
          <w:color w:val="000000"/>
          <w:sz w:val="32"/>
          <w:szCs w:val="32"/>
          <w:lang w:val="en-US" w:eastAsia="zh-CN"/>
        </w:rPr>
        <w:t>1总则</w:t>
      </w:r>
      <w:bookmarkEnd w:id="0"/>
      <w:bookmarkEnd w:id="1"/>
    </w:p>
    <w:p w14:paraId="2FDD4913">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rPr>
      </w:pPr>
      <w:bookmarkStart w:id="2" w:name="_Toc288137727"/>
      <w:bookmarkStart w:id="3" w:name="_Toc1485"/>
      <w:bookmarkStart w:id="4" w:name="_Toc26600"/>
      <w:r>
        <w:rPr>
          <w:rFonts w:hint="eastAsia" w:ascii="宋体" w:hAnsi="宋体" w:eastAsia="宋体" w:cs="宋体"/>
          <w:b/>
          <w:bCs/>
          <w:color w:val="000000"/>
          <w:sz w:val="28"/>
          <w:szCs w:val="28"/>
        </w:rPr>
        <w:t>1.1</w:t>
      </w:r>
      <w:bookmarkEnd w:id="2"/>
      <w:r>
        <w:rPr>
          <w:rFonts w:hint="eastAsia" w:ascii="宋体" w:hAnsi="宋体" w:cs="宋体"/>
          <w:b/>
          <w:bCs/>
          <w:color w:val="000000"/>
          <w:sz w:val="28"/>
          <w:szCs w:val="28"/>
          <w:lang w:val="en-US" w:eastAsia="zh-CN"/>
        </w:rPr>
        <w:t xml:space="preserve"> </w:t>
      </w:r>
      <w:r>
        <w:rPr>
          <w:rFonts w:hint="eastAsia" w:ascii="宋体" w:hAnsi="宋体" w:eastAsia="宋体" w:cs="宋体"/>
          <w:b/>
          <w:bCs/>
          <w:color w:val="000000"/>
          <w:sz w:val="28"/>
          <w:szCs w:val="28"/>
        </w:rPr>
        <w:t>编制目的</w:t>
      </w:r>
      <w:bookmarkEnd w:id="3"/>
      <w:bookmarkEnd w:id="4"/>
    </w:p>
    <w:p w14:paraId="2638DC28">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为建立健全水环境污染事件应急机制，有效预防和减少突发环境事件的发生，快速、科学地进行突发环境事件的应急处置，全面提高应对开州区五通乡老林沟饮用水源地突发环境事件的能力，有效应对开州区五通乡老林沟饮用水源地（以下简称水源地）突发环境事件，最大程度降低突发环境事件对水源地水质影响，规范水源地突发环境事件应对的各项工作，特制定本预案。并为开州区生态环境局及相关部门制定应急预案提供支撑。</w:t>
      </w:r>
    </w:p>
    <w:p w14:paraId="5E46F5B8">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rPr>
      </w:pPr>
      <w:bookmarkStart w:id="5" w:name="_Toc288137728"/>
      <w:bookmarkStart w:id="6" w:name="_Toc480"/>
      <w:bookmarkStart w:id="7" w:name="_Toc12629"/>
      <w:r>
        <w:rPr>
          <w:rFonts w:hint="eastAsia" w:ascii="宋体" w:hAnsi="宋体" w:eastAsia="宋体" w:cs="宋体"/>
          <w:b/>
          <w:bCs/>
          <w:color w:val="000000"/>
          <w:sz w:val="28"/>
          <w:szCs w:val="28"/>
        </w:rPr>
        <w:t>1.2</w:t>
      </w:r>
      <w:bookmarkEnd w:id="5"/>
      <w:r>
        <w:rPr>
          <w:rFonts w:hint="eastAsia" w:ascii="宋体" w:hAnsi="宋体" w:eastAsia="宋体" w:cs="宋体"/>
          <w:b/>
          <w:bCs/>
          <w:color w:val="000000"/>
          <w:sz w:val="28"/>
          <w:szCs w:val="28"/>
          <w:lang w:val="en-US" w:eastAsia="zh-CN"/>
        </w:rPr>
        <w:t xml:space="preserve"> </w:t>
      </w:r>
      <w:r>
        <w:rPr>
          <w:rFonts w:hint="eastAsia" w:ascii="宋体" w:hAnsi="宋体" w:eastAsia="宋体" w:cs="宋体"/>
          <w:b/>
          <w:bCs/>
          <w:color w:val="000000"/>
          <w:sz w:val="28"/>
          <w:szCs w:val="28"/>
        </w:rPr>
        <w:t>适用范围</w:t>
      </w:r>
      <w:bookmarkEnd w:id="6"/>
      <w:bookmarkEnd w:id="7"/>
    </w:p>
    <w:p w14:paraId="0EB99746">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本预案适用于开州区五通乡老林沟饮用水源地保护区内环境污染、破坏事件、输水管道、自然灾害造成的危及人体健康的环境事件及其他影响老林沟饮用水源地水质的其它严重污染事件等重污染事件。</w:t>
      </w:r>
    </w:p>
    <w:p w14:paraId="1432F8B0">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rPr>
      </w:pPr>
      <w:bookmarkStart w:id="8" w:name="_Toc29315"/>
      <w:bookmarkStart w:id="9" w:name="_Toc16483"/>
      <w:r>
        <w:rPr>
          <w:rFonts w:hint="eastAsia" w:ascii="宋体" w:hAnsi="宋体" w:eastAsia="宋体" w:cs="宋体"/>
          <w:b/>
          <w:bCs/>
          <w:color w:val="000000"/>
          <w:sz w:val="28"/>
          <w:szCs w:val="28"/>
        </w:rPr>
        <w:t>1.3</w:t>
      </w:r>
      <w:r>
        <w:rPr>
          <w:rFonts w:hint="eastAsia" w:ascii="宋体" w:hAnsi="宋体" w:eastAsia="宋体" w:cs="宋体"/>
          <w:b/>
          <w:bCs/>
          <w:color w:val="000000"/>
          <w:sz w:val="28"/>
          <w:szCs w:val="28"/>
          <w:lang w:val="en-US" w:eastAsia="zh-CN"/>
        </w:rPr>
        <w:t xml:space="preserve"> </w:t>
      </w:r>
      <w:r>
        <w:rPr>
          <w:rFonts w:hint="eastAsia" w:ascii="宋体" w:hAnsi="宋体" w:eastAsia="宋体" w:cs="宋体"/>
          <w:b/>
          <w:bCs/>
          <w:color w:val="000000"/>
          <w:sz w:val="28"/>
          <w:szCs w:val="28"/>
        </w:rPr>
        <w:t>编制依据</w:t>
      </w:r>
      <w:bookmarkEnd w:id="8"/>
      <w:bookmarkEnd w:id="9"/>
    </w:p>
    <w:p w14:paraId="13754B89">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《中华人民共和国环境保护法》(主席令第9号，2015)；</w:t>
      </w:r>
    </w:p>
    <w:p w14:paraId="21A59BE1">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《中华人民共和国水污染防治法》(主席令第87号，2017年修订版)；</w:t>
      </w:r>
    </w:p>
    <w:p w14:paraId="72EB6B1B">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《中华人民共和国突发事件应对法》(主席令第25号，2024)；</w:t>
      </w:r>
    </w:p>
    <w:p w14:paraId="1C1F9912">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《国家突发环境事件应急预案》（国办函〔2014〕119号）；</w:t>
      </w:r>
    </w:p>
    <w:p w14:paraId="643B66D0">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《国务院关于加强环境保护重点工作的意见》（国发〔2011〕35号）；</w:t>
      </w:r>
    </w:p>
    <w:p w14:paraId="76C17E67">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《突发事件应急预案管理办法》（国办发〔20</w:t>
      </w:r>
      <w:r>
        <w:rPr>
          <w:rFonts w:hint="eastAsia" w:cs="宋体"/>
          <w:color w:val="auto"/>
          <w:sz w:val="28"/>
          <w:szCs w:val="28"/>
          <w:lang w:val="en-US" w:eastAsia="zh-CN"/>
        </w:rPr>
        <w:t>25</w:t>
      </w:r>
      <w:r>
        <w:rPr>
          <w:rFonts w:hint="eastAsia" w:ascii="宋体" w:hAnsi="宋体" w:eastAsia="宋体" w:cs="宋体"/>
          <w:color w:val="auto"/>
          <w:sz w:val="28"/>
          <w:szCs w:val="28"/>
          <w:lang w:val="en-US" w:eastAsia="zh-CN"/>
        </w:rPr>
        <w:t>〕</w:t>
      </w:r>
      <w:r>
        <w:rPr>
          <w:rFonts w:hint="eastAsia" w:cs="宋体"/>
          <w:color w:val="auto"/>
          <w:sz w:val="28"/>
          <w:szCs w:val="28"/>
          <w:lang w:val="en-US" w:eastAsia="zh-CN"/>
        </w:rPr>
        <w:t>5</w:t>
      </w:r>
      <w:r>
        <w:rPr>
          <w:rFonts w:hint="eastAsia" w:ascii="宋体" w:hAnsi="宋体" w:eastAsia="宋体" w:cs="宋体"/>
          <w:color w:val="auto"/>
          <w:sz w:val="28"/>
          <w:szCs w:val="28"/>
          <w:lang w:val="en-US" w:eastAsia="zh-CN"/>
        </w:rPr>
        <w:t>号）；</w:t>
      </w:r>
    </w:p>
    <w:p w14:paraId="5DB3E8BC">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《企业事业单位突发环境事件应急预案备案管理办法（试行）》（环发〔2015〕4号）；</w:t>
      </w:r>
    </w:p>
    <w:p w14:paraId="7704DBC6">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《企业突发环境事件隐患排查和治理工作指南（试行）》（环境保护部公告2016年第74号）；</w:t>
      </w:r>
    </w:p>
    <w:p w14:paraId="79CEB024">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《突发环境事件应急监测技术规范》（HJ 589-2010）；</w:t>
      </w:r>
    </w:p>
    <w:p w14:paraId="3E793269">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《突发环境事件信息报告办法》（环境保护部令第17号，2011）；</w:t>
      </w:r>
    </w:p>
    <w:p w14:paraId="301F5953">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《城市供水条例》（中华人民共和国国务院令第158号，1994）；</w:t>
      </w:r>
    </w:p>
    <w:p w14:paraId="108D01A9">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《城市供水水质管理规定》（中华人民共和国建设部令第156号，2006）；</w:t>
      </w:r>
    </w:p>
    <w:p w14:paraId="0B4360F9">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《生活饮用水卫生监督管理办法》（中华人民共和国城乡建设部、卫生计生委令第31号，2016）；</w:t>
      </w:r>
    </w:p>
    <w:p w14:paraId="69B30D25">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《重庆市环境保护管理条例》（2018年修订）；</w:t>
      </w:r>
    </w:p>
    <w:p w14:paraId="0594B518">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《重庆市长江三峡库区流域水污染防治条例》（重庆市人大常委会公告〔2011〕26号）；</w:t>
      </w:r>
    </w:p>
    <w:p w14:paraId="7085C237">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《重庆市饮用水源污染防治办法》（重庆市人民政府令第159号，2003）；</w:t>
      </w:r>
    </w:p>
    <w:p w14:paraId="2116DABD">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《重庆市城市供水节水管理条例》（重庆市人大常委会公告〔1999〕111号，2012年11月29日修订）；</w:t>
      </w:r>
    </w:p>
    <w:p w14:paraId="053E0769">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《重庆市村镇供水条例》重庆市人民代表大会常务委员会公告〔2016〕第55号</w:t>
      </w:r>
    </w:p>
    <w:p w14:paraId="52BB3D53">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《重庆市突发事件应对条例》（重庆市人大常委会公告〔2012〕9号）；</w:t>
      </w:r>
    </w:p>
    <w:p w14:paraId="066790F8">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《重庆市人民政府突发公共事件总体应急预案》（2007）；</w:t>
      </w:r>
    </w:p>
    <w:p w14:paraId="7DEE75DF">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《重庆市人民政府办公厅关于调整万州区等31个区县（自治县）集中式饮用水源保护区的通知》(府办[2013]40号)；</w:t>
      </w:r>
    </w:p>
    <w:p w14:paraId="14E7412F">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《重庆市政府办公厅关于调整万州区等36个区县（自治县）集中式饮用水水源保护区调整方案》（渝府办[2016]19号）；</w:t>
      </w:r>
    </w:p>
    <w:p w14:paraId="5B7AAB53">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《重庆市人民政府办公厅关于印发万州区等区县(开发区)集中式饮用水源地保护区划分及调整方案的通知》（渝府办[2018]7号）；</w:t>
      </w:r>
    </w:p>
    <w:p w14:paraId="4D4F3284">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《突发环境事件应急预案管理暂行办法》（2010）113号印发；</w:t>
      </w:r>
    </w:p>
    <w:p w14:paraId="3B7467BB">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《重庆市三峡库区流域水环境突发事件应急预案》；</w:t>
      </w:r>
      <w:bookmarkStart w:id="10" w:name="OLE_LINK10"/>
    </w:p>
    <w:p w14:paraId="62FA9028">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《重庆市</w:t>
      </w:r>
      <w:bookmarkEnd w:id="10"/>
      <w:r>
        <w:rPr>
          <w:rFonts w:hint="eastAsia" w:ascii="宋体" w:hAnsi="宋体" w:eastAsia="宋体" w:cs="宋体"/>
          <w:color w:val="auto"/>
          <w:sz w:val="28"/>
          <w:szCs w:val="28"/>
          <w:lang w:val="en-US" w:eastAsia="zh-CN"/>
        </w:rPr>
        <w:t>开州区突发环境事件应急预案》；</w:t>
      </w:r>
    </w:p>
    <w:p w14:paraId="63D59BA9">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《重庆市</w:t>
      </w:r>
      <w:bookmarkStart w:id="11" w:name="OLE_LINK40"/>
      <w:r>
        <w:rPr>
          <w:rFonts w:hint="eastAsia" w:ascii="宋体" w:hAnsi="宋体" w:eastAsia="宋体" w:cs="宋体"/>
          <w:color w:val="auto"/>
          <w:sz w:val="28"/>
          <w:szCs w:val="28"/>
          <w:lang w:val="en-US" w:eastAsia="zh-CN"/>
        </w:rPr>
        <w:t>开州区饮用水源地突发环境事件应急预案</w:t>
      </w:r>
      <w:bookmarkEnd w:id="11"/>
      <w:r>
        <w:rPr>
          <w:rFonts w:hint="eastAsia" w:ascii="宋体" w:hAnsi="宋体" w:eastAsia="宋体" w:cs="宋体"/>
          <w:color w:val="auto"/>
          <w:sz w:val="28"/>
          <w:szCs w:val="28"/>
          <w:lang w:val="en-US" w:eastAsia="zh-CN"/>
        </w:rPr>
        <w:t>》；</w:t>
      </w:r>
    </w:p>
    <w:p w14:paraId="2C2196FF">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《集中式饮用水水源地规范化建设环境保护技术要求》（HJ773）；</w:t>
      </w:r>
    </w:p>
    <w:p w14:paraId="35800466">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《集中式饮用水水源地环境保护状况评估技术规范》（HJ774）；</w:t>
      </w:r>
    </w:p>
    <w:p w14:paraId="3FA1BA94">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《危险化学品安全管理条例》(国务院令第645号，2011年修订)；</w:t>
      </w:r>
    </w:p>
    <w:p w14:paraId="29F9EA4A">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《集中式地表水饮用水水源地突发环境事件应急预案编制指南（试行）》（公告2018年第1号）。</w:t>
      </w:r>
    </w:p>
    <w:p w14:paraId="7DA1977A">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rPr>
      </w:pPr>
      <w:bookmarkStart w:id="12" w:name="_Toc5010"/>
      <w:bookmarkStart w:id="13" w:name="_Toc13899"/>
      <w:bookmarkStart w:id="14" w:name="_Toc386312991"/>
      <w:r>
        <w:rPr>
          <w:rFonts w:hint="eastAsia" w:ascii="宋体" w:hAnsi="宋体" w:eastAsia="宋体" w:cs="宋体"/>
          <w:b/>
          <w:bCs/>
          <w:color w:val="000000"/>
          <w:sz w:val="28"/>
          <w:szCs w:val="28"/>
        </w:rPr>
        <w:t>1.</w:t>
      </w:r>
      <w:r>
        <w:rPr>
          <w:rFonts w:hint="eastAsia" w:ascii="宋体" w:hAnsi="宋体" w:eastAsia="宋体" w:cs="宋体"/>
          <w:b/>
          <w:bCs/>
          <w:color w:val="000000"/>
          <w:sz w:val="28"/>
          <w:szCs w:val="28"/>
          <w:lang w:val="en-US" w:eastAsia="zh-CN"/>
        </w:rPr>
        <w:t xml:space="preserve">4 </w:t>
      </w:r>
      <w:r>
        <w:rPr>
          <w:rFonts w:hint="eastAsia" w:ascii="宋体" w:hAnsi="宋体" w:eastAsia="宋体" w:cs="宋体"/>
          <w:b/>
          <w:bCs/>
          <w:color w:val="000000"/>
          <w:sz w:val="28"/>
          <w:szCs w:val="28"/>
        </w:rPr>
        <w:t>工作原则</w:t>
      </w:r>
      <w:bookmarkEnd w:id="12"/>
      <w:bookmarkEnd w:id="13"/>
      <w:bookmarkEnd w:id="14"/>
    </w:p>
    <w:p w14:paraId="3ED188B5">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开州区五通乡老林沟饮用水源在建立突发性环境污染事件应急系统及其响应程序时，本着实事求是、切实可行的方针，贯彻如下原则：</w:t>
      </w:r>
    </w:p>
    <w:p w14:paraId="26830B7B">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（1）救人第一、环境优先；</w:t>
      </w:r>
    </w:p>
    <w:p w14:paraId="77CB152D">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（2）先期处置、防止危害扩大；</w:t>
      </w:r>
    </w:p>
    <w:p w14:paraId="00141CCF">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（3）快速响应、科学应对；</w:t>
      </w:r>
    </w:p>
    <w:p w14:paraId="4505EA91">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（4）应急工作与岗位职责相结合。</w:t>
      </w:r>
    </w:p>
    <w:p w14:paraId="1F6CC920">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zh-CN"/>
        </w:rPr>
      </w:pPr>
      <w:bookmarkStart w:id="15" w:name="_Toc295467917"/>
      <w:bookmarkStart w:id="16" w:name="_Toc30184"/>
      <w:bookmarkStart w:id="17" w:name="_Toc14603"/>
      <w:bookmarkStart w:id="18" w:name="_Toc294080711"/>
      <w:bookmarkStart w:id="19" w:name="_Toc23746"/>
      <w:bookmarkStart w:id="20" w:name="_Toc6758"/>
      <w:r>
        <w:rPr>
          <w:rFonts w:hint="eastAsia" w:ascii="宋体" w:hAnsi="宋体" w:eastAsia="宋体" w:cs="宋体"/>
          <w:b/>
          <w:bCs/>
          <w:color w:val="000000"/>
          <w:sz w:val="28"/>
          <w:szCs w:val="28"/>
          <w:lang w:val="zh-CN"/>
        </w:rPr>
        <w:t>1.</w:t>
      </w:r>
      <w:r>
        <w:rPr>
          <w:rFonts w:hint="eastAsia" w:ascii="宋体" w:hAnsi="宋体" w:eastAsia="宋体" w:cs="宋体"/>
          <w:b/>
          <w:bCs/>
          <w:color w:val="000000"/>
          <w:sz w:val="28"/>
          <w:szCs w:val="28"/>
          <w:lang w:val="en-US" w:eastAsia="zh-CN"/>
        </w:rPr>
        <w:t xml:space="preserve">5 </w:t>
      </w:r>
      <w:r>
        <w:rPr>
          <w:rFonts w:hint="eastAsia" w:ascii="宋体" w:hAnsi="宋体" w:eastAsia="宋体" w:cs="宋体"/>
          <w:b/>
          <w:bCs/>
          <w:color w:val="000000"/>
          <w:sz w:val="28"/>
          <w:szCs w:val="28"/>
          <w:lang w:val="zh-CN"/>
        </w:rPr>
        <w:t>应急预案体系</w:t>
      </w:r>
      <w:bookmarkEnd w:id="15"/>
      <w:bookmarkEnd w:id="16"/>
      <w:bookmarkEnd w:id="17"/>
      <w:bookmarkEnd w:id="18"/>
      <w:bookmarkEnd w:id="19"/>
      <w:bookmarkEnd w:id="20"/>
    </w:p>
    <w:p w14:paraId="107836C0">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本预案为开州区五通乡老林沟饮用水源突发环境事件应急预案，该预案与《开州区突发环境事件应急预案》《重庆市开州区集中式饮用水源地突发环境事件应急预案》</w:t>
      </w:r>
      <w:r>
        <w:rPr>
          <w:rFonts w:hint="eastAsia" w:cs="宋体"/>
          <w:color w:val="auto"/>
          <w:sz w:val="28"/>
          <w:szCs w:val="28"/>
          <w:lang w:val="en-US" w:eastAsia="zh-CN"/>
        </w:rPr>
        <w:t>《重庆市开州区五通乡突发环境事件应急预案》</w:t>
      </w:r>
      <w:r>
        <w:rPr>
          <w:rFonts w:hint="eastAsia" w:ascii="宋体" w:hAnsi="宋体" w:eastAsia="宋体" w:cs="宋体"/>
          <w:color w:val="auto"/>
          <w:sz w:val="28"/>
          <w:szCs w:val="28"/>
          <w:lang w:val="en-US" w:eastAsia="zh-CN"/>
        </w:rPr>
        <w:t>相衔接。</w:t>
      </w:r>
    </w:p>
    <w:p w14:paraId="1FE157FA">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应急预案体系组成结构见：图1.5-1。</w:t>
      </w:r>
    </w:p>
    <w:p w14:paraId="00DA5669">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0" w:firstLineChars="0"/>
        <w:jc w:val="center"/>
        <w:textAlignment w:val="auto"/>
        <w:rPr>
          <w:rFonts w:hint="default" w:hAnsi="宋体"/>
          <w:b/>
          <w:bCs/>
          <w:sz w:val="24"/>
          <w:szCs w:val="24"/>
        </w:rPr>
      </w:pPr>
      <w:r>
        <w:rPr>
          <w:rFonts w:hint="eastAsia" w:hAnsi="宋体"/>
          <w:b/>
          <w:bCs/>
          <w:sz w:val="24"/>
          <w:szCs w:val="24"/>
          <w:lang w:val="en-US" w:eastAsia="zh-CN"/>
        </w:rPr>
        <w:drawing>
          <wp:anchor distT="0" distB="0" distL="114300" distR="114300" simplePos="0" relativeHeight="251659264" behindDoc="0" locked="0" layoutInCell="1" allowOverlap="1">
            <wp:simplePos x="0" y="0"/>
            <wp:positionH relativeFrom="column">
              <wp:posOffset>-28575</wp:posOffset>
            </wp:positionH>
            <wp:positionV relativeFrom="paragraph">
              <wp:posOffset>86360</wp:posOffset>
            </wp:positionV>
            <wp:extent cx="5696585" cy="2886710"/>
            <wp:effectExtent l="0" t="0" r="18415" b="8890"/>
            <wp:wrapTopAndBottom/>
            <wp:docPr id="1" name="F360BE8B-6686-4F3D-AEAF-501FE73E4058-1" descr="C:/Users/张龙坤/AppData/Local/Temp/绘图1.png绘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360BE8B-6686-4F3D-AEAF-501FE73E4058-1" descr="C:/Users/张龙坤/AppData/Local/Temp/绘图1.png绘图1"/>
                    <pic:cNvPicPr>
                      <a:picLocks noChangeAspect="1"/>
                    </pic:cNvPicPr>
                  </pic:nvPicPr>
                  <pic:blipFill>
                    <a:blip r:embed="rId10"/>
                    <a:stretch>
                      <a:fillRect/>
                    </a:stretch>
                  </pic:blipFill>
                  <pic:spPr>
                    <a:xfrm>
                      <a:off x="0" y="0"/>
                      <a:ext cx="5696712" cy="2886456"/>
                    </a:xfrm>
                    <a:prstGeom prst="rect">
                      <a:avLst/>
                    </a:prstGeom>
                  </pic:spPr>
                </pic:pic>
              </a:graphicData>
            </a:graphic>
          </wp:anchor>
        </w:drawing>
      </w:r>
      <w:r>
        <w:rPr>
          <w:rFonts w:hint="eastAsia" w:hAnsi="宋体"/>
          <w:b/>
          <w:bCs/>
          <w:sz w:val="24"/>
          <w:szCs w:val="24"/>
          <w:lang w:val="en-US" w:eastAsia="zh-CN"/>
        </w:rPr>
        <w:t xml:space="preserve">图1.5-1 </w:t>
      </w:r>
      <w:r>
        <w:rPr>
          <w:rFonts w:hint="default" w:hAnsi="宋体"/>
          <w:b/>
          <w:bCs/>
          <w:sz w:val="24"/>
          <w:szCs w:val="24"/>
        </w:rPr>
        <w:t>预案体系结构图</w:t>
      </w:r>
    </w:p>
    <w:p w14:paraId="5156264F">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21" w:name="_Toc18947"/>
      <w:r>
        <w:rPr>
          <w:rFonts w:hint="eastAsia" w:ascii="宋体" w:hAnsi="宋体" w:eastAsia="宋体" w:cs="宋体"/>
          <w:b/>
          <w:bCs/>
          <w:color w:val="000000"/>
          <w:sz w:val="28"/>
          <w:szCs w:val="28"/>
          <w:lang w:val="en-US" w:eastAsia="zh-CN"/>
        </w:rPr>
        <w:t>1.6 事件分级</w:t>
      </w:r>
      <w:bookmarkEnd w:id="21"/>
    </w:p>
    <w:p w14:paraId="15251C88">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按照突发环境事件的严重性和紧急程度，突发环境事件分为特别重大环境事件（Ⅰ级）、重大环境事件（Ⅱ级）、较大环境事件（Ⅲ级）和一般环境事件（Ⅳ级）四级。预警分级颜色依次为红色、橙色、黄色和蓝色。</w:t>
      </w:r>
    </w:p>
    <w:p w14:paraId="2DCA2EB4">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1.特别重大（Ⅰ级）突发环境事件。</w:t>
      </w:r>
    </w:p>
    <w:p w14:paraId="2416889F">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凡符合下列情形之一的，为特别重大突发环境事件：</w:t>
      </w:r>
    </w:p>
    <w:p w14:paraId="5D505F69">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（1）因突发环境事件，造成主要水源地供水中断，影响居民生活，经济损失1000万元以上。</w:t>
      </w:r>
    </w:p>
    <w:p w14:paraId="597AC71E">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（2）因突发环境事件造成饮用水源严重污染，导致100人以上中毒。</w:t>
      </w:r>
    </w:p>
    <w:p w14:paraId="1A0E24FD">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（3）发生大面积水华（藻类数量达到108个/升，区段河长≥10 公里）并造成严重的饮用水源污染的。</w:t>
      </w:r>
    </w:p>
    <w:p w14:paraId="688C2B37">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2.重大（Ⅱ级）突发环境事件。</w:t>
      </w:r>
    </w:p>
    <w:p w14:paraId="7D0442B6">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凡符合下列情形之一的，为重大突发环境事件：</w:t>
      </w:r>
    </w:p>
    <w:p w14:paraId="6B8A522E">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（1）因突发环境事件，部分水厂供水中断，大面积供水受到影响,经济损失500万元以上、1000万元以下。</w:t>
      </w:r>
    </w:p>
    <w:p w14:paraId="4093D402">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（2）因突发环境事件造成饮用水源严重污染，导致50人以上、100人以下中毒。</w:t>
      </w:r>
    </w:p>
    <w:p w14:paraId="21CE71E6">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（3）因环境污染造成涪江大面积污染，导致</w:t>
      </w:r>
      <w:bookmarkStart w:id="22" w:name="OLE_LINK11"/>
      <w:r>
        <w:rPr>
          <w:rFonts w:hint="eastAsia" w:ascii="宋体" w:hAnsi="宋体" w:eastAsia="宋体" w:cs="宋体"/>
          <w:color w:val="auto"/>
          <w:sz w:val="28"/>
          <w:szCs w:val="28"/>
          <w:lang w:val="en-US" w:eastAsia="zh-CN"/>
        </w:rPr>
        <w:t>合川城区集中式饮用水源</w:t>
      </w:r>
      <w:bookmarkEnd w:id="22"/>
      <w:r>
        <w:rPr>
          <w:rFonts w:hint="eastAsia" w:ascii="宋体" w:hAnsi="宋体" w:eastAsia="宋体" w:cs="宋体"/>
          <w:color w:val="auto"/>
          <w:sz w:val="28"/>
          <w:szCs w:val="28"/>
          <w:lang w:val="en-US" w:eastAsia="zh-CN"/>
        </w:rPr>
        <w:t>地取水中断的。</w:t>
      </w:r>
    </w:p>
    <w:p w14:paraId="406BC1C9">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（4）发生大面积水华（藻类数量达到108个/升，区段河长≥6公里）并造成较为严重的饮用水源污染的。</w:t>
      </w:r>
    </w:p>
    <w:p w14:paraId="6894C1E8">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3.较大（Ⅲ级）突发环境事件。</w:t>
      </w:r>
    </w:p>
    <w:p w14:paraId="230F0340">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凡符合下列情形之一的，为较大突发环境事件：</w:t>
      </w:r>
    </w:p>
    <w:p w14:paraId="5272270D">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（1）因突发环境事件，造成暂时性停水，影响部分居民生活，经济损失10万元以上、500万元以下。</w:t>
      </w:r>
    </w:p>
    <w:p w14:paraId="0CDF211E">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（2）因突发环境事件造成饮用水源严重污染，导致10人以上、50人以下中毒。</w:t>
      </w:r>
    </w:p>
    <w:p w14:paraId="7D28D068">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（3）因环境污染造成乡镇饮用水源地取水中断的。</w:t>
      </w:r>
    </w:p>
    <w:p w14:paraId="4CD25C56">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（4）发生大面积水华（藻类数量达到108个/升，区段河长≥3公里）并造成饮用水源污染的。</w:t>
      </w:r>
    </w:p>
    <w:p w14:paraId="76D131C3">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4.一般（Ⅳ级）突发环境事件。</w:t>
      </w:r>
    </w:p>
    <w:p w14:paraId="342426BB">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xml:space="preserve">（1）因饮用水源污染造成直接经济损失10万元以下的； </w:t>
      </w:r>
    </w:p>
    <w:p w14:paraId="55AC741D">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（2）因饮用水源污染直接导致10人以下中毒的；</w:t>
      </w:r>
    </w:p>
    <w:p w14:paraId="1BCF72FC">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（3）因环境污染造成</w:t>
      </w:r>
      <w:bookmarkStart w:id="23" w:name="OLE_LINK12"/>
      <w:r>
        <w:rPr>
          <w:rFonts w:hint="eastAsia" w:ascii="宋体" w:hAnsi="宋体" w:eastAsia="宋体" w:cs="宋体"/>
          <w:color w:val="auto"/>
          <w:sz w:val="28"/>
          <w:szCs w:val="28"/>
          <w:lang w:val="en-US" w:eastAsia="zh-CN"/>
        </w:rPr>
        <w:t>村、社集中式饮用水源地</w:t>
      </w:r>
      <w:bookmarkEnd w:id="23"/>
      <w:r>
        <w:rPr>
          <w:rFonts w:hint="eastAsia" w:ascii="宋体" w:hAnsi="宋体" w:eastAsia="宋体" w:cs="宋体"/>
          <w:color w:val="auto"/>
          <w:sz w:val="28"/>
          <w:szCs w:val="28"/>
          <w:lang w:val="en-US" w:eastAsia="zh-CN"/>
        </w:rPr>
        <w:t>取水中断的；</w:t>
      </w:r>
    </w:p>
    <w:p w14:paraId="2938D355">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sectPr>
          <w:pgSz w:w="11906" w:h="16838"/>
          <w:pgMar w:top="1440" w:right="1800" w:bottom="1440" w:left="1800" w:header="851" w:footer="992" w:gutter="0"/>
          <w:pgNumType w:start="1"/>
          <w:cols w:space="720" w:num="1"/>
          <w:rtlGutter w:val="0"/>
          <w:docGrid w:type="lines" w:linePitch="312" w:charSpace="0"/>
        </w:sectPr>
      </w:pPr>
      <w:r>
        <w:rPr>
          <w:rFonts w:hint="eastAsia" w:ascii="宋体" w:hAnsi="宋体" w:eastAsia="宋体" w:cs="宋体"/>
          <w:color w:val="auto"/>
          <w:sz w:val="28"/>
          <w:szCs w:val="28"/>
          <w:lang w:val="en-US" w:eastAsia="zh-CN"/>
        </w:rPr>
        <w:t>（4）发生大面积水华（藻类数量达到 108个/升，区段河长＜3公里）并造成饮用水源污染的。</w:t>
      </w:r>
    </w:p>
    <w:p w14:paraId="4538A89E">
      <w:pPr>
        <w:pStyle w:val="15"/>
        <w:keepNext w:val="0"/>
        <w:keepLines w:val="0"/>
        <w:pageBreakBefore w:val="0"/>
        <w:widowControl/>
        <w:kinsoku/>
        <w:wordWrap/>
        <w:overflowPunct/>
        <w:topLinePunct w:val="0"/>
        <w:autoSpaceDE/>
        <w:autoSpaceDN/>
        <w:bidi w:val="0"/>
        <w:adjustRightInd w:val="0"/>
        <w:snapToGrid/>
        <w:spacing w:beforeAutospacing="0" w:line="360" w:lineRule="auto"/>
        <w:ind w:firstLine="0" w:firstLineChars="0"/>
        <w:jc w:val="center"/>
        <w:textAlignment w:val="auto"/>
        <w:outlineLvl w:val="0"/>
        <w:rPr>
          <w:rStyle w:val="19"/>
          <w:rFonts w:hint="default" w:ascii="宋体" w:hAnsi="宋体" w:eastAsia="宋体" w:cs="宋体"/>
          <w:b/>
          <w:bCs/>
          <w:color w:val="000000"/>
          <w:sz w:val="32"/>
          <w:szCs w:val="32"/>
          <w:lang w:val="en-US" w:eastAsia="zh-CN"/>
        </w:rPr>
      </w:pPr>
      <w:bookmarkStart w:id="24" w:name="_Toc14245"/>
      <w:bookmarkStart w:id="25" w:name="_Toc27083"/>
      <w:r>
        <w:rPr>
          <w:rStyle w:val="19"/>
          <w:rFonts w:hint="eastAsia" w:ascii="宋体" w:hAnsi="宋体" w:eastAsia="宋体" w:cs="宋体"/>
          <w:b/>
          <w:bCs/>
          <w:color w:val="000000"/>
          <w:sz w:val="32"/>
          <w:szCs w:val="32"/>
          <w:lang w:val="en-US" w:eastAsia="zh-CN"/>
        </w:rPr>
        <w:t>2</w:t>
      </w:r>
      <w:r>
        <w:rPr>
          <w:rStyle w:val="19"/>
          <w:rFonts w:hint="eastAsia" w:ascii="宋体" w:hAnsi="宋体" w:cs="宋体"/>
          <w:b/>
          <w:bCs/>
          <w:color w:val="000000"/>
          <w:sz w:val="32"/>
          <w:szCs w:val="32"/>
          <w:lang w:val="en-US" w:eastAsia="zh-CN"/>
        </w:rPr>
        <w:t xml:space="preserve"> </w:t>
      </w:r>
      <w:r>
        <w:rPr>
          <w:rStyle w:val="19"/>
          <w:rFonts w:hint="eastAsia" w:ascii="宋体" w:hAnsi="宋体" w:eastAsia="宋体" w:cs="宋体"/>
          <w:b/>
          <w:bCs/>
          <w:color w:val="000000"/>
          <w:sz w:val="32"/>
          <w:szCs w:val="32"/>
          <w:lang w:val="en-US" w:eastAsia="zh-CN"/>
        </w:rPr>
        <w:t>开州区五通乡老林沟饮用水水源地基础信息</w:t>
      </w:r>
      <w:bookmarkEnd w:id="24"/>
      <w:bookmarkEnd w:id="25"/>
    </w:p>
    <w:p w14:paraId="3D9D62F0">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26" w:name="_Toc32095"/>
      <w:bookmarkStart w:id="27" w:name="_Toc11400"/>
      <w:bookmarkStart w:id="28" w:name="_Toc24334"/>
      <w:r>
        <w:rPr>
          <w:rFonts w:hint="eastAsia" w:ascii="宋体" w:hAnsi="宋体" w:eastAsia="宋体" w:cs="宋体"/>
          <w:b/>
          <w:bCs/>
          <w:color w:val="000000"/>
          <w:sz w:val="28"/>
          <w:szCs w:val="28"/>
          <w:lang w:val="en-US" w:eastAsia="zh-CN"/>
        </w:rPr>
        <w:t>2.1 开州区五通乡老林沟水源地基础信息</w:t>
      </w:r>
      <w:bookmarkEnd w:id="26"/>
      <w:bookmarkEnd w:id="27"/>
      <w:bookmarkEnd w:id="28"/>
    </w:p>
    <w:p w14:paraId="75BD6863">
      <w:pPr>
        <w:pStyle w:val="22"/>
        <w:spacing w:line="520" w:lineRule="exact"/>
        <w:ind w:firstLine="0" w:firstLineChars="0"/>
        <w:jc w:val="center"/>
        <w:rPr>
          <w:rFonts w:hint="default" w:ascii="宋体" w:hAnsi="宋体"/>
          <w:b/>
          <w:bCs/>
          <w:sz w:val="22"/>
          <w:szCs w:val="22"/>
        </w:rPr>
      </w:pPr>
      <w:r>
        <w:rPr>
          <w:rFonts w:hint="eastAsia" w:ascii="宋体" w:hAnsi="宋体"/>
          <w:b/>
          <w:bCs/>
          <w:sz w:val="22"/>
          <w:szCs w:val="22"/>
        </w:rPr>
        <w:t>表</w:t>
      </w:r>
      <w:r>
        <w:rPr>
          <w:rFonts w:hint="eastAsia" w:ascii="宋体" w:hAnsi="宋体"/>
          <w:b/>
          <w:bCs/>
          <w:sz w:val="22"/>
          <w:szCs w:val="22"/>
          <w:lang w:val="en-US" w:eastAsia="zh-CN"/>
        </w:rPr>
        <w:t xml:space="preserve">2.1-1 </w:t>
      </w:r>
      <w:r>
        <w:rPr>
          <w:rFonts w:hint="eastAsia" w:ascii="宋体" w:hAnsi="宋体"/>
          <w:b/>
          <w:bCs/>
          <w:sz w:val="22"/>
          <w:szCs w:val="22"/>
        </w:rPr>
        <w:t xml:space="preserve"> 开州区</w:t>
      </w:r>
      <w:r>
        <w:rPr>
          <w:rFonts w:hint="eastAsia" w:ascii="宋体" w:hAnsi="宋体"/>
          <w:b/>
          <w:bCs/>
          <w:sz w:val="22"/>
          <w:szCs w:val="22"/>
          <w:lang w:eastAsia="zh-CN"/>
        </w:rPr>
        <w:t>五通乡</w:t>
      </w:r>
      <w:r>
        <w:rPr>
          <w:rFonts w:hint="eastAsia" w:ascii="宋体" w:hAnsi="宋体"/>
          <w:b/>
          <w:bCs/>
          <w:sz w:val="22"/>
          <w:szCs w:val="22"/>
          <w:lang w:val="en-US" w:eastAsia="zh-CN"/>
        </w:rPr>
        <w:t>老林沟</w:t>
      </w:r>
      <w:r>
        <w:rPr>
          <w:rFonts w:hint="eastAsia" w:ascii="宋体" w:hAnsi="宋体"/>
          <w:b/>
          <w:bCs/>
          <w:sz w:val="22"/>
          <w:szCs w:val="22"/>
        </w:rPr>
        <w:t>饮用水水源地基本情况</w:t>
      </w:r>
    </w:p>
    <w:tbl>
      <w:tblPr>
        <w:tblStyle w:val="17"/>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11"/>
        <w:gridCol w:w="5793"/>
      </w:tblGrid>
      <w:tr w14:paraId="6BD1F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711" w:type="dxa"/>
            <w:noWrap w:val="0"/>
            <w:vAlign w:val="center"/>
          </w:tcPr>
          <w:p w14:paraId="0605F680">
            <w:pPr>
              <w:pStyle w:val="23"/>
              <w:spacing w:line="300" w:lineRule="exact"/>
              <w:rPr>
                <w:rFonts w:hint="eastAsia" w:ascii="宋体" w:hAnsi="宋体"/>
                <w:spacing w:val="0"/>
                <w:sz w:val="21"/>
                <w:szCs w:val="21"/>
                <w:lang w:val="en-US" w:eastAsia="zh-CN"/>
              </w:rPr>
            </w:pPr>
            <w:r>
              <w:rPr>
                <w:rFonts w:hint="eastAsia" w:ascii="宋体" w:hAnsi="宋体"/>
                <w:spacing w:val="0"/>
                <w:sz w:val="21"/>
                <w:szCs w:val="21"/>
                <w:lang w:val="en-US" w:eastAsia="zh-CN"/>
              </w:rPr>
              <w:t>水源地名称</w:t>
            </w:r>
          </w:p>
        </w:tc>
        <w:tc>
          <w:tcPr>
            <w:tcW w:w="5793" w:type="dxa"/>
            <w:noWrap w:val="0"/>
            <w:vAlign w:val="center"/>
          </w:tcPr>
          <w:p w14:paraId="304BB21D">
            <w:pPr>
              <w:pStyle w:val="23"/>
              <w:spacing w:line="300" w:lineRule="exact"/>
              <w:jc w:val="center"/>
              <w:rPr>
                <w:rFonts w:hint="eastAsia" w:ascii="宋体" w:hAnsi="宋体"/>
                <w:spacing w:val="0"/>
                <w:sz w:val="21"/>
                <w:szCs w:val="21"/>
                <w:lang w:val="en-US" w:eastAsia="zh-CN"/>
              </w:rPr>
            </w:pPr>
            <w:r>
              <w:rPr>
                <w:rFonts w:hint="eastAsia" w:ascii="宋体" w:hAnsi="宋体"/>
                <w:spacing w:val="0"/>
                <w:sz w:val="21"/>
                <w:szCs w:val="21"/>
                <w:lang w:val="en-US" w:eastAsia="zh-CN"/>
              </w:rPr>
              <w:t>老林沟饮用水源地</w:t>
            </w:r>
          </w:p>
        </w:tc>
      </w:tr>
      <w:tr w14:paraId="6307D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11" w:type="dxa"/>
            <w:noWrap w:val="0"/>
            <w:vAlign w:val="center"/>
          </w:tcPr>
          <w:p w14:paraId="406C4C17">
            <w:pPr>
              <w:pStyle w:val="23"/>
              <w:spacing w:line="300" w:lineRule="exact"/>
              <w:rPr>
                <w:rFonts w:hint="eastAsia" w:ascii="宋体" w:hAnsi="宋体"/>
                <w:spacing w:val="0"/>
                <w:sz w:val="21"/>
                <w:szCs w:val="21"/>
                <w:lang w:val="en-US" w:eastAsia="zh-CN"/>
              </w:rPr>
            </w:pPr>
            <w:r>
              <w:rPr>
                <w:rFonts w:hint="eastAsia" w:ascii="宋体" w:hAnsi="宋体"/>
                <w:spacing w:val="0"/>
                <w:sz w:val="21"/>
                <w:szCs w:val="21"/>
                <w:lang w:val="en-US" w:eastAsia="zh-CN"/>
              </w:rPr>
              <w:t>地理位置范围</w:t>
            </w:r>
          </w:p>
        </w:tc>
        <w:tc>
          <w:tcPr>
            <w:tcW w:w="5793" w:type="dxa"/>
            <w:noWrap w:val="0"/>
            <w:vAlign w:val="center"/>
          </w:tcPr>
          <w:p w14:paraId="25DEB7A4">
            <w:pPr>
              <w:pStyle w:val="23"/>
              <w:spacing w:line="300" w:lineRule="exact"/>
              <w:jc w:val="center"/>
              <w:rPr>
                <w:rFonts w:hint="eastAsia" w:ascii="宋体" w:hAnsi="宋体"/>
                <w:spacing w:val="0"/>
                <w:sz w:val="21"/>
                <w:szCs w:val="21"/>
                <w:lang w:val="en-US" w:eastAsia="zh-CN"/>
              </w:rPr>
            </w:pPr>
            <w:r>
              <w:rPr>
                <w:rFonts w:hint="eastAsia" w:ascii="宋体" w:hAnsi="宋体"/>
                <w:spacing w:val="0"/>
                <w:sz w:val="21"/>
                <w:szCs w:val="21"/>
                <w:lang w:val="en-US" w:eastAsia="zh-CN"/>
              </w:rPr>
              <w:t>五通乡石笋子老林沟</w:t>
            </w:r>
          </w:p>
        </w:tc>
      </w:tr>
      <w:tr w14:paraId="38D99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11" w:type="dxa"/>
            <w:noWrap w:val="0"/>
            <w:vAlign w:val="center"/>
          </w:tcPr>
          <w:p w14:paraId="72CE70D9">
            <w:pPr>
              <w:pStyle w:val="23"/>
              <w:spacing w:line="300" w:lineRule="exact"/>
              <w:rPr>
                <w:rFonts w:hint="eastAsia" w:ascii="宋体" w:hAnsi="宋体"/>
                <w:spacing w:val="0"/>
                <w:sz w:val="21"/>
                <w:szCs w:val="21"/>
                <w:lang w:val="en-US" w:eastAsia="zh-CN"/>
              </w:rPr>
            </w:pPr>
            <w:r>
              <w:rPr>
                <w:rFonts w:hint="eastAsia" w:ascii="宋体" w:hAnsi="宋体"/>
                <w:spacing w:val="0"/>
                <w:sz w:val="21"/>
                <w:szCs w:val="21"/>
                <w:lang w:val="en-US" w:eastAsia="zh-CN"/>
              </w:rPr>
              <w:t>取水点中心经纬度</w:t>
            </w:r>
          </w:p>
        </w:tc>
        <w:tc>
          <w:tcPr>
            <w:tcW w:w="5793" w:type="dxa"/>
            <w:noWrap w:val="0"/>
            <w:vAlign w:val="center"/>
          </w:tcPr>
          <w:p w14:paraId="2AD775DC">
            <w:pPr>
              <w:pStyle w:val="23"/>
              <w:spacing w:line="300" w:lineRule="exact"/>
              <w:jc w:val="center"/>
              <w:rPr>
                <w:rFonts w:hint="default" w:ascii="宋体" w:hAnsi="宋体"/>
                <w:spacing w:val="0"/>
                <w:sz w:val="21"/>
                <w:szCs w:val="21"/>
                <w:lang w:val="en-US" w:eastAsia="zh-CN"/>
              </w:rPr>
            </w:pPr>
            <w:r>
              <w:rPr>
                <w:rFonts w:hint="eastAsia" w:ascii="宋体" w:hAnsi="宋体"/>
                <w:spacing w:val="0"/>
                <w:sz w:val="21"/>
                <w:szCs w:val="21"/>
                <w:lang w:val="en-US" w:eastAsia="zh-CN"/>
              </w:rPr>
              <w:t>北纬30.9047 东经108.0241</w:t>
            </w:r>
          </w:p>
        </w:tc>
      </w:tr>
      <w:tr w14:paraId="34745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11" w:type="dxa"/>
            <w:noWrap w:val="0"/>
            <w:vAlign w:val="center"/>
          </w:tcPr>
          <w:p w14:paraId="1BB7B311">
            <w:pPr>
              <w:pStyle w:val="23"/>
              <w:spacing w:line="300" w:lineRule="exact"/>
              <w:rPr>
                <w:rFonts w:hint="eastAsia" w:ascii="宋体" w:hAnsi="宋体"/>
                <w:spacing w:val="0"/>
                <w:sz w:val="21"/>
                <w:szCs w:val="21"/>
                <w:lang w:val="en-US" w:eastAsia="zh-CN"/>
              </w:rPr>
            </w:pPr>
            <w:r>
              <w:rPr>
                <w:rFonts w:hint="eastAsia" w:ascii="宋体" w:hAnsi="宋体"/>
                <w:spacing w:val="0"/>
                <w:sz w:val="21"/>
                <w:szCs w:val="21"/>
                <w:lang w:val="en-US" w:eastAsia="zh-CN"/>
              </w:rPr>
              <w:t>保护区面积</w:t>
            </w:r>
          </w:p>
        </w:tc>
        <w:tc>
          <w:tcPr>
            <w:tcW w:w="5793" w:type="dxa"/>
            <w:noWrap w:val="0"/>
            <w:vAlign w:val="center"/>
          </w:tcPr>
          <w:p w14:paraId="57D4666D">
            <w:pPr>
              <w:pStyle w:val="23"/>
              <w:spacing w:line="300" w:lineRule="exact"/>
              <w:jc w:val="center"/>
              <w:rPr>
                <w:rFonts w:hint="eastAsia" w:ascii="宋体" w:hAnsi="宋体"/>
                <w:spacing w:val="0"/>
                <w:sz w:val="21"/>
                <w:szCs w:val="21"/>
                <w:lang w:val="en-US" w:eastAsia="zh-CN"/>
              </w:rPr>
            </w:pPr>
            <w:r>
              <w:rPr>
                <w:rFonts w:hint="eastAsia" w:ascii="宋体" w:hAnsi="宋体"/>
                <w:spacing w:val="0"/>
                <w:sz w:val="21"/>
                <w:szCs w:val="21"/>
                <w:lang w:val="en-US" w:eastAsia="zh-CN"/>
              </w:rPr>
              <w:t>一级保护区：上游1公里，下游100米，两岸纵深50米；</w:t>
            </w:r>
          </w:p>
          <w:p w14:paraId="218EA23A">
            <w:pPr>
              <w:pStyle w:val="23"/>
              <w:spacing w:line="300" w:lineRule="exact"/>
              <w:jc w:val="center"/>
              <w:rPr>
                <w:rFonts w:hint="default" w:ascii="宋体" w:hAnsi="宋体"/>
                <w:spacing w:val="0"/>
                <w:sz w:val="21"/>
                <w:szCs w:val="21"/>
                <w:lang w:val="en-US" w:eastAsia="zh-CN"/>
              </w:rPr>
            </w:pPr>
            <w:r>
              <w:rPr>
                <w:rFonts w:hint="eastAsia" w:ascii="宋体" w:hAnsi="宋体"/>
                <w:spacing w:val="0"/>
                <w:sz w:val="21"/>
                <w:szCs w:val="21"/>
                <w:lang w:val="en-US" w:eastAsia="zh-CN"/>
              </w:rPr>
              <w:t>二级保护区：一级保护区边界上游2公里，边界下游200米，两岸纵深流域范围内</w:t>
            </w:r>
          </w:p>
        </w:tc>
      </w:tr>
      <w:tr w14:paraId="3FAFC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11" w:type="dxa"/>
            <w:noWrap w:val="0"/>
            <w:vAlign w:val="center"/>
          </w:tcPr>
          <w:p w14:paraId="1264420D">
            <w:pPr>
              <w:pStyle w:val="23"/>
              <w:spacing w:line="300" w:lineRule="exact"/>
              <w:rPr>
                <w:rFonts w:hint="eastAsia" w:ascii="宋体" w:hAnsi="宋体"/>
                <w:spacing w:val="0"/>
                <w:sz w:val="21"/>
                <w:szCs w:val="21"/>
                <w:lang w:val="en-US" w:eastAsia="zh-CN"/>
              </w:rPr>
            </w:pPr>
            <w:r>
              <w:rPr>
                <w:rFonts w:hint="eastAsia" w:ascii="宋体" w:hAnsi="宋体"/>
                <w:spacing w:val="0"/>
                <w:sz w:val="21"/>
                <w:szCs w:val="21"/>
                <w:lang w:val="en-US" w:eastAsia="zh-CN"/>
              </w:rPr>
              <w:t>水质保护目标</w:t>
            </w:r>
          </w:p>
        </w:tc>
        <w:tc>
          <w:tcPr>
            <w:tcW w:w="5793" w:type="dxa"/>
            <w:noWrap w:val="0"/>
            <w:vAlign w:val="center"/>
          </w:tcPr>
          <w:p w14:paraId="1BF1CC75">
            <w:pPr>
              <w:pStyle w:val="23"/>
              <w:spacing w:line="300" w:lineRule="exact"/>
              <w:jc w:val="center"/>
              <w:rPr>
                <w:rFonts w:hint="eastAsia" w:ascii="宋体" w:hAnsi="宋体"/>
                <w:spacing w:val="0"/>
                <w:sz w:val="21"/>
                <w:szCs w:val="21"/>
                <w:lang w:val="en-US" w:eastAsia="zh-CN"/>
              </w:rPr>
            </w:pPr>
            <w:r>
              <w:rPr>
                <w:rFonts w:hint="eastAsia" w:ascii="宋体" w:hAnsi="宋体"/>
                <w:spacing w:val="0"/>
                <w:sz w:val="21"/>
                <w:szCs w:val="21"/>
                <w:lang w:val="en-US" w:eastAsia="zh-CN"/>
              </w:rPr>
              <w:t>Ⅲ类</w:t>
            </w:r>
          </w:p>
        </w:tc>
      </w:tr>
      <w:tr w14:paraId="22174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11" w:type="dxa"/>
            <w:noWrap w:val="0"/>
            <w:vAlign w:val="center"/>
          </w:tcPr>
          <w:p w14:paraId="56F2D4F6">
            <w:pPr>
              <w:pStyle w:val="23"/>
              <w:spacing w:line="300" w:lineRule="exact"/>
              <w:rPr>
                <w:rFonts w:hint="eastAsia" w:ascii="宋体" w:hAnsi="宋体"/>
                <w:spacing w:val="0"/>
                <w:sz w:val="21"/>
                <w:szCs w:val="21"/>
                <w:lang w:val="en-US" w:eastAsia="zh-CN"/>
              </w:rPr>
            </w:pPr>
            <w:r>
              <w:rPr>
                <w:rFonts w:hint="eastAsia" w:ascii="宋体" w:hAnsi="宋体"/>
                <w:spacing w:val="0"/>
                <w:sz w:val="21"/>
                <w:szCs w:val="21"/>
                <w:lang w:val="en-US" w:eastAsia="zh-CN"/>
              </w:rPr>
              <w:t>类型</w:t>
            </w:r>
          </w:p>
        </w:tc>
        <w:tc>
          <w:tcPr>
            <w:tcW w:w="5793" w:type="dxa"/>
            <w:noWrap w:val="0"/>
            <w:vAlign w:val="center"/>
          </w:tcPr>
          <w:p w14:paraId="4F0784C4">
            <w:pPr>
              <w:pStyle w:val="23"/>
              <w:spacing w:line="300" w:lineRule="exact"/>
              <w:jc w:val="center"/>
              <w:rPr>
                <w:rFonts w:hint="eastAsia" w:ascii="宋体" w:hAnsi="宋体"/>
                <w:spacing w:val="0"/>
                <w:sz w:val="21"/>
                <w:szCs w:val="21"/>
                <w:lang w:val="en-US" w:eastAsia="zh-CN"/>
              </w:rPr>
            </w:pPr>
            <w:r>
              <w:rPr>
                <w:rFonts w:hint="eastAsia" w:ascii="宋体" w:hAnsi="宋体"/>
                <w:spacing w:val="0"/>
                <w:sz w:val="21"/>
                <w:szCs w:val="21"/>
                <w:lang w:val="en-US" w:eastAsia="zh-CN"/>
              </w:rPr>
              <w:t>地表水</w:t>
            </w:r>
          </w:p>
        </w:tc>
      </w:tr>
      <w:tr w14:paraId="4A5EF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11" w:type="dxa"/>
            <w:noWrap w:val="0"/>
            <w:vAlign w:val="center"/>
          </w:tcPr>
          <w:p w14:paraId="7A1F549F">
            <w:pPr>
              <w:pStyle w:val="23"/>
              <w:spacing w:line="300" w:lineRule="exact"/>
              <w:rPr>
                <w:rFonts w:hint="eastAsia" w:ascii="宋体" w:hAnsi="宋体"/>
                <w:spacing w:val="0"/>
                <w:sz w:val="21"/>
                <w:szCs w:val="21"/>
                <w:lang w:val="en-US" w:eastAsia="zh-CN"/>
              </w:rPr>
            </w:pPr>
            <w:r>
              <w:rPr>
                <w:rFonts w:hint="eastAsia" w:ascii="宋体" w:hAnsi="宋体"/>
                <w:spacing w:val="0"/>
                <w:sz w:val="21"/>
                <w:szCs w:val="21"/>
                <w:lang w:val="en-US" w:eastAsia="zh-CN"/>
              </w:rPr>
              <w:t>设计供水规模</w:t>
            </w:r>
          </w:p>
        </w:tc>
        <w:tc>
          <w:tcPr>
            <w:tcW w:w="5793" w:type="dxa"/>
            <w:noWrap w:val="0"/>
            <w:vAlign w:val="center"/>
          </w:tcPr>
          <w:p w14:paraId="6EC480C9">
            <w:pPr>
              <w:pStyle w:val="23"/>
              <w:spacing w:line="300" w:lineRule="exact"/>
              <w:jc w:val="center"/>
              <w:rPr>
                <w:rFonts w:hint="eastAsia" w:ascii="宋体" w:hAnsi="宋体"/>
                <w:spacing w:val="0"/>
                <w:sz w:val="21"/>
                <w:szCs w:val="21"/>
                <w:lang w:val="en-US" w:eastAsia="zh-CN"/>
              </w:rPr>
            </w:pPr>
            <w:r>
              <w:rPr>
                <w:rFonts w:hint="eastAsia" w:ascii="宋体" w:hAnsi="宋体"/>
                <w:spacing w:val="0"/>
                <w:sz w:val="21"/>
                <w:szCs w:val="21"/>
                <w:lang w:val="en-US" w:eastAsia="zh-CN"/>
              </w:rPr>
              <w:t>500立方米/天</w:t>
            </w:r>
          </w:p>
        </w:tc>
      </w:tr>
      <w:tr w14:paraId="4DD1C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11" w:type="dxa"/>
            <w:noWrap w:val="0"/>
            <w:vAlign w:val="center"/>
          </w:tcPr>
          <w:p w14:paraId="3D4BF08F">
            <w:pPr>
              <w:pStyle w:val="23"/>
              <w:spacing w:line="300" w:lineRule="exact"/>
              <w:rPr>
                <w:rFonts w:hint="eastAsia" w:ascii="宋体" w:hAnsi="宋体"/>
                <w:spacing w:val="0"/>
                <w:sz w:val="21"/>
                <w:szCs w:val="21"/>
                <w:lang w:val="en-US" w:eastAsia="zh-CN"/>
              </w:rPr>
            </w:pPr>
            <w:r>
              <w:rPr>
                <w:rFonts w:hint="eastAsia" w:ascii="宋体" w:hAnsi="宋体"/>
                <w:spacing w:val="0"/>
                <w:sz w:val="21"/>
                <w:szCs w:val="21"/>
                <w:lang w:val="en-US" w:eastAsia="zh-CN"/>
              </w:rPr>
              <w:t>实际高峰供水规模</w:t>
            </w:r>
          </w:p>
        </w:tc>
        <w:tc>
          <w:tcPr>
            <w:tcW w:w="5793" w:type="dxa"/>
            <w:noWrap w:val="0"/>
            <w:vAlign w:val="center"/>
          </w:tcPr>
          <w:p w14:paraId="5DF73DDF">
            <w:pPr>
              <w:pStyle w:val="23"/>
              <w:spacing w:line="300" w:lineRule="exact"/>
              <w:jc w:val="center"/>
              <w:rPr>
                <w:rFonts w:hint="eastAsia" w:ascii="宋体" w:hAnsi="宋体"/>
                <w:spacing w:val="0"/>
                <w:sz w:val="21"/>
                <w:szCs w:val="21"/>
                <w:lang w:val="en-US" w:eastAsia="zh-CN"/>
              </w:rPr>
            </w:pPr>
            <w:r>
              <w:rPr>
                <w:rFonts w:hint="eastAsia" w:ascii="宋体" w:hAnsi="宋体"/>
                <w:spacing w:val="0"/>
                <w:sz w:val="21"/>
                <w:szCs w:val="21"/>
                <w:lang w:val="en-US" w:eastAsia="zh-CN"/>
              </w:rPr>
              <w:t>300立方米/天</w:t>
            </w:r>
          </w:p>
        </w:tc>
      </w:tr>
      <w:tr w14:paraId="08E72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11" w:type="dxa"/>
            <w:noWrap w:val="0"/>
            <w:vAlign w:val="center"/>
          </w:tcPr>
          <w:p w14:paraId="5F34DABE">
            <w:pPr>
              <w:pStyle w:val="23"/>
              <w:spacing w:line="300" w:lineRule="exact"/>
              <w:rPr>
                <w:rFonts w:hint="eastAsia" w:ascii="宋体" w:hAnsi="宋体"/>
                <w:spacing w:val="0"/>
                <w:sz w:val="21"/>
                <w:szCs w:val="21"/>
                <w:lang w:val="en-US" w:eastAsia="zh-CN"/>
              </w:rPr>
            </w:pPr>
            <w:r>
              <w:rPr>
                <w:rFonts w:hint="eastAsia" w:ascii="宋体" w:hAnsi="宋体"/>
                <w:spacing w:val="0"/>
                <w:sz w:val="21"/>
                <w:szCs w:val="21"/>
                <w:lang w:val="en-US" w:eastAsia="zh-CN"/>
              </w:rPr>
              <w:t>取水管道材质</w:t>
            </w:r>
          </w:p>
        </w:tc>
        <w:tc>
          <w:tcPr>
            <w:tcW w:w="5793" w:type="dxa"/>
            <w:noWrap w:val="0"/>
            <w:vAlign w:val="center"/>
          </w:tcPr>
          <w:p w14:paraId="4597E0AC">
            <w:pPr>
              <w:pStyle w:val="23"/>
              <w:spacing w:line="300" w:lineRule="exact"/>
              <w:jc w:val="center"/>
              <w:rPr>
                <w:rFonts w:hint="eastAsia" w:ascii="宋体" w:hAnsi="宋体"/>
                <w:spacing w:val="0"/>
                <w:sz w:val="21"/>
                <w:szCs w:val="21"/>
                <w:lang w:val="en-US" w:eastAsia="zh-CN"/>
              </w:rPr>
            </w:pPr>
            <w:r>
              <w:rPr>
                <w:rFonts w:hint="eastAsia" w:ascii="宋体" w:hAnsi="宋体"/>
                <w:spacing w:val="0"/>
                <w:sz w:val="21"/>
                <w:szCs w:val="21"/>
                <w:lang w:val="en-US" w:eastAsia="zh-CN"/>
              </w:rPr>
              <w:t>1条粗PE管道</w:t>
            </w:r>
          </w:p>
        </w:tc>
      </w:tr>
      <w:tr w14:paraId="5D313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11" w:type="dxa"/>
            <w:noWrap w:val="0"/>
            <w:vAlign w:val="center"/>
          </w:tcPr>
          <w:p w14:paraId="4212C167">
            <w:pPr>
              <w:pStyle w:val="23"/>
              <w:spacing w:line="300" w:lineRule="exact"/>
              <w:rPr>
                <w:rFonts w:hint="eastAsia" w:ascii="宋体" w:hAnsi="宋体"/>
                <w:spacing w:val="0"/>
                <w:sz w:val="21"/>
                <w:szCs w:val="21"/>
                <w:lang w:val="en-US" w:eastAsia="zh-CN"/>
              </w:rPr>
            </w:pPr>
            <w:r>
              <w:rPr>
                <w:rFonts w:hint="eastAsia" w:ascii="宋体" w:hAnsi="宋体"/>
                <w:spacing w:val="0"/>
                <w:sz w:val="21"/>
                <w:szCs w:val="21"/>
                <w:lang w:val="en-US" w:eastAsia="zh-CN"/>
              </w:rPr>
              <w:t>直径</w:t>
            </w:r>
          </w:p>
        </w:tc>
        <w:tc>
          <w:tcPr>
            <w:tcW w:w="5793" w:type="dxa"/>
            <w:noWrap w:val="0"/>
            <w:vAlign w:val="center"/>
          </w:tcPr>
          <w:p w14:paraId="600D04BE">
            <w:pPr>
              <w:pStyle w:val="23"/>
              <w:spacing w:line="300" w:lineRule="exact"/>
              <w:jc w:val="center"/>
              <w:rPr>
                <w:rFonts w:hint="eastAsia" w:ascii="宋体" w:hAnsi="宋体"/>
                <w:spacing w:val="0"/>
                <w:sz w:val="21"/>
                <w:szCs w:val="21"/>
                <w:lang w:val="en-US" w:eastAsia="zh-CN"/>
              </w:rPr>
            </w:pPr>
            <w:r>
              <w:rPr>
                <w:rFonts w:hint="eastAsia" w:ascii="宋体" w:hAnsi="宋体"/>
                <w:spacing w:val="0"/>
                <w:sz w:val="21"/>
                <w:szCs w:val="21"/>
                <w:lang w:val="en-US" w:eastAsia="zh-CN"/>
              </w:rPr>
              <w:t>80毫米</w:t>
            </w:r>
          </w:p>
        </w:tc>
      </w:tr>
      <w:tr w14:paraId="1FFBB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11" w:type="dxa"/>
            <w:noWrap w:val="0"/>
            <w:vAlign w:val="center"/>
          </w:tcPr>
          <w:p w14:paraId="2717469F">
            <w:pPr>
              <w:pStyle w:val="23"/>
              <w:spacing w:line="300" w:lineRule="exact"/>
              <w:rPr>
                <w:rFonts w:hint="eastAsia" w:ascii="宋体" w:hAnsi="宋体"/>
                <w:spacing w:val="0"/>
                <w:sz w:val="21"/>
                <w:szCs w:val="21"/>
                <w:lang w:val="en-US" w:eastAsia="zh-CN"/>
              </w:rPr>
            </w:pPr>
            <w:r>
              <w:rPr>
                <w:rFonts w:hint="eastAsia" w:ascii="宋体" w:hAnsi="宋体"/>
                <w:spacing w:val="0"/>
                <w:sz w:val="21"/>
                <w:szCs w:val="21"/>
                <w:lang w:val="en-US" w:eastAsia="zh-CN"/>
              </w:rPr>
              <w:t>长度</w:t>
            </w:r>
          </w:p>
        </w:tc>
        <w:tc>
          <w:tcPr>
            <w:tcW w:w="5793" w:type="dxa"/>
            <w:noWrap w:val="0"/>
            <w:vAlign w:val="center"/>
          </w:tcPr>
          <w:p w14:paraId="331BDC98">
            <w:pPr>
              <w:pStyle w:val="23"/>
              <w:spacing w:line="300" w:lineRule="exact"/>
              <w:jc w:val="center"/>
              <w:rPr>
                <w:rFonts w:hint="eastAsia" w:ascii="宋体" w:hAnsi="宋体"/>
                <w:spacing w:val="0"/>
                <w:sz w:val="21"/>
                <w:szCs w:val="21"/>
                <w:lang w:val="en-US" w:eastAsia="zh-CN"/>
              </w:rPr>
            </w:pPr>
            <w:r>
              <w:rPr>
                <w:rFonts w:hint="eastAsia" w:ascii="宋体" w:hAnsi="宋体"/>
                <w:spacing w:val="0"/>
                <w:sz w:val="21"/>
                <w:szCs w:val="21"/>
                <w:lang w:val="en-US" w:eastAsia="zh-CN"/>
              </w:rPr>
              <w:t>7千米</w:t>
            </w:r>
          </w:p>
        </w:tc>
      </w:tr>
      <w:tr w14:paraId="358A3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11" w:type="dxa"/>
            <w:noWrap w:val="0"/>
            <w:vAlign w:val="center"/>
          </w:tcPr>
          <w:p w14:paraId="6D2C16E4">
            <w:pPr>
              <w:pStyle w:val="23"/>
              <w:spacing w:line="300" w:lineRule="exact"/>
              <w:rPr>
                <w:rFonts w:hint="eastAsia" w:ascii="宋体" w:hAnsi="宋体"/>
                <w:spacing w:val="0"/>
                <w:sz w:val="21"/>
                <w:szCs w:val="21"/>
                <w:lang w:val="en-US" w:eastAsia="zh-CN"/>
              </w:rPr>
            </w:pPr>
            <w:r>
              <w:rPr>
                <w:rFonts w:hint="eastAsia" w:ascii="宋体" w:hAnsi="宋体"/>
                <w:spacing w:val="0"/>
                <w:sz w:val="21"/>
                <w:szCs w:val="21"/>
                <w:lang w:val="en-US" w:eastAsia="zh-CN"/>
              </w:rPr>
              <w:t>取水管道至水厂铺设路径</w:t>
            </w:r>
          </w:p>
        </w:tc>
        <w:tc>
          <w:tcPr>
            <w:tcW w:w="5793" w:type="dxa"/>
            <w:noWrap w:val="0"/>
            <w:vAlign w:val="center"/>
          </w:tcPr>
          <w:p w14:paraId="2C169C15">
            <w:pPr>
              <w:pStyle w:val="23"/>
              <w:spacing w:line="300" w:lineRule="exact"/>
              <w:jc w:val="center"/>
              <w:rPr>
                <w:rFonts w:hint="eastAsia" w:ascii="宋体" w:hAnsi="宋体"/>
                <w:spacing w:val="0"/>
                <w:sz w:val="21"/>
                <w:szCs w:val="21"/>
                <w:lang w:val="en-US" w:eastAsia="zh-CN"/>
              </w:rPr>
            </w:pPr>
            <w:r>
              <w:rPr>
                <w:rFonts w:hint="eastAsia" w:ascii="宋体" w:hAnsi="宋体"/>
                <w:spacing w:val="0"/>
                <w:sz w:val="21"/>
                <w:szCs w:val="21"/>
                <w:lang w:val="en-US" w:eastAsia="zh-CN"/>
              </w:rPr>
              <w:t>沿山体及公路沿线铺设</w:t>
            </w:r>
          </w:p>
        </w:tc>
      </w:tr>
      <w:tr w14:paraId="02D36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11" w:type="dxa"/>
            <w:noWrap w:val="0"/>
            <w:vAlign w:val="center"/>
          </w:tcPr>
          <w:p w14:paraId="48BC356A">
            <w:pPr>
              <w:pStyle w:val="23"/>
              <w:spacing w:line="300" w:lineRule="exact"/>
              <w:rPr>
                <w:rFonts w:hint="eastAsia" w:ascii="宋体" w:hAnsi="宋体"/>
                <w:spacing w:val="0"/>
                <w:sz w:val="21"/>
                <w:szCs w:val="21"/>
                <w:lang w:val="en-US" w:eastAsia="zh-CN"/>
              </w:rPr>
            </w:pPr>
            <w:r>
              <w:rPr>
                <w:rFonts w:hint="eastAsia" w:ascii="宋体" w:hAnsi="宋体"/>
                <w:spacing w:val="0"/>
                <w:sz w:val="21"/>
                <w:szCs w:val="21"/>
                <w:lang w:val="en-US" w:eastAsia="zh-CN"/>
              </w:rPr>
              <w:t>水厂名称</w:t>
            </w:r>
          </w:p>
        </w:tc>
        <w:tc>
          <w:tcPr>
            <w:tcW w:w="5793" w:type="dxa"/>
            <w:noWrap w:val="0"/>
            <w:vAlign w:val="center"/>
          </w:tcPr>
          <w:p w14:paraId="06CCA97B">
            <w:pPr>
              <w:pStyle w:val="23"/>
              <w:spacing w:line="300" w:lineRule="exact"/>
              <w:jc w:val="center"/>
              <w:rPr>
                <w:rFonts w:hint="eastAsia" w:ascii="宋体" w:hAnsi="宋体"/>
                <w:spacing w:val="0"/>
                <w:sz w:val="21"/>
                <w:szCs w:val="21"/>
                <w:lang w:val="en-US" w:eastAsia="zh-CN"/>
              </w:rPr>
            </w:pPr>
            <w:r>
              <w:rPr>
                <w:rFonts w:hint="eastAsia" w:ascii="宋体" w:hAnsi="宋体"/>
                <w:spacing w:val="0"/>
                <w:sz w:val="21"/>
                <w:szCs w:val="21"/>
                <w:lang w:val="en-US" w:eastAsia="zh-CN"/>
              </w:rPr>
              <w:t>重庆开州清泉水务建设有限公司五通水厂</w:t>
            </w:r>
          </w:p>
        </w:tc>
      </w:tr>
      <w:tr w14:paraId="54C84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11" w:type="dxa"/>
            <w:noWrap w:val="0"/>
            <w:vAlign w:val="center"/>
          </w:tcPr>
          <w:p w14:paraId="72FB40D2">
            <w:pPr>
              <w:pStyle w:val="23"/>
              <w:spacing w:line="300" w:lineRule="exact"/>
              <w:rPr>
                <w:rFonts w:hint="eastAsia" w:ascii="宋体" w:hAnsi="宋体"/>
                <w:spacing w:val="0"/>
                <w:sz w:val="21"/>
                <w:szCs w:val="21"/>
                <w:lang w:val="en-US" w:eastAsia="zh-CN"/>
              </w:rPr>
            </w:pPr>
            <w:r>
              <w:rPr>
                <w:rFonts w:hint="eastAsia" w:ascii="宋体" w:hAnsi="宋体"/>
                <w:spacing w:val="0"/>
                <w:sz w:val="21"/>
                <w:szCs w:val="21"/>
                <w:lang w:val="en-US" w:eastAsia="zh-CN"/>
              </w:rPr>
              <w:t>水厂位置</w:t>
            </w:r>
          </w:p>
        </w:tc>
        <w:tc>
          <w:tcPr>
            <w:tcW w:w="5793" w:type="dxa"/>
            <w:noWrap w:val="0"/>
            <w:vAlign w:val="center"/>
          </w:tcPr>
          <w:p w14:paraId="133EED2A">
            <w:pPr>
              <w:pStyle w:val="23"/>
              <w:spacing w:line="300" w:lineRule="exact"/>
              <w:jc w:val="center"/>
              <w:rPr>
                <w:rFonts w:hint="default" w:ascii="宋体" w:hAnsi="宋体"/>
                <w:spacing w:val="0"/>
                <w:sz w:val="21"/>
                <w:szCs w:val="21"/>
                <w:lang w:val="en-US" w:eastAsia="zh-CN"/>
              </w:rPr>
            </w:pPr>
            <w:r>
              <w:rPr>
                <w:rFonts w:hint="eastAsia" w:ascii="宋体" w:hAnsi="宋体"/>
                <w:spacing w:val="0"/>
                <w:sz w:val="21"/>
                <w:szCs w:val="21"/>
                <w:lang w:val="en-US" w:eastAsia="zh-CN"/>
              </w:rPr>
              <w:t>开州五通乡兴五社区</w:t>
            </w:r>
          </w:p>
        </w:tc>
      </w:tr>
      <w:tr w14:paraId="01A8E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11" w:type="dxa"/>
            <w:noWrap w:val="0"/>
            <w:vAlign w:val="center"/>
          </w:tcPr>
          <w:p w14:paraId="243C93D9">
            <w:pPr>
              <w:pStyle w:val="23"/>
              <w:spacing w:line="300" w:lineRule="exact"/>
              <w:rPr>
                <w:rFonts w:hint="eastAsia" w:ascii="宋体" w:hAnsi="宋体"/>
                <w:spacing w:val="0"/>
                <w:sz w:val="21"/>
                <w:szCs w:val="21"/>
                <w:lang w:val="en-US" w:eastAsia="zh-CN"/>
              </w:rPr>
            </w:pPr>
            <w:r>
              <w:rPr>
                <w:rFonts w:hint="eastAsia" w:ascii="宋体" w:hAnsi="宋体"/>
                <w:spacing w:val="0"/>
                <w:sz w:val="21"/>
                <w:szCs w:val="21"/>
                <w:lang w:val="en-US" w:eastAsia="zh-CN"/>
              </w:rPr>
              <w:t>水厂中心经纬度</w:t>
            </w:r>
          </w:p>
        </w:tc>
        <w:tc>
          <w:tcPr>
            <w:tcW w:w="5793" w:type="dxa"/>
            <w:noWrap w:val="0"/>
            <w:vAlign w:val="center"/>
          </w:tcPr>
          <w:p w14:paraId="08AEEDEA">
            <w:pPr>
              <w:pStyle w:val="23"/>
              <w:spacing w:line="300" w:lineRule="exact"/>
              <w:jc w:val="center"/>
              <w:rPr>
                <w:rFonts w:hint="default" w:ascii="宋体" w:hAnsi="宋体"/>
                <w:spacing w:val="0"/>
                <w:sz w:val="21"/>
                <w:szCs w:val="21"/>
                <w:lang w:val="en-US" w:eastAsia="zh-CN"/>
              </w:rPr>
            </w:pPr>
            <w:r>
              <w:rPr>
                <w:rFonts w:hint="eastAsia" w:ascii="宋体" w:hAnsi="宋体"/>
                <w:spacing w:val="0"/>
                <w:sz w:val="21"/>
                <w:szCs w:val="21"/>
                <w:lang w:val="en-US" w:eastAsia="zh-CN"/>
              </w:rPr>
              <w:t>北纬30.8896 东经108.0538</w:t>
            </w:r>
          </w:p>
        </w:tc>
      </w:tr>
      <w:tr w14:paraId="57CDC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11" w:type="dxa"/>
            <w:noWrap w:val="0"/>
            <w:vAlign w:val="center"/>
          </w:tcPr>
          <w:p w14:paraId="43FB9F66">
            <w:pPr>
              <w:pStyle w:val="23"/>
              <w:spacing w:line="300" w:lineRule="exact"/>
              <w:rPr>
                <w:rFonts w:hint="eastAsia" w:ascii="宋体" w:hAnsi="宋体"/>
                <w:spacing w:val="0"/>
                <w:sz w:val="21"/>
                <w:szCs w:val="21"/>
                <w:lang w:val="en-US" w:eastAsia="zh-CN"/>
              </w:rPr>
            </w:pPr>
            <w:r>
              <w:rPr>
                <w:rFonts w:hint="eastAsia" w:ascii="宋体" w:hAnsi="宋体"/>
                <w:spacing w:val="0"/>
                <w:sz w:val="21"/>
                <w:szCs w:val="21"/>
                <w:lang w:val="en-US" w:eastAsia="zh-CN"/>
              </w:rPr>
              <w:t>投用时间</w:t>
            </w:r>
          </w:p>
        </w:tc>
        <w:tc>
          <w:tcPr>
            <w:tcW w:w="5793" w:type="dxa"/>
            <w:noWrap w:val="0"/>
            <w:vAlign w:val="center"/>
          </w:tcPr>
          <w:p w14:paraId="449E1A6B">
            <w:pPr>
              <w:pStyle w:val="23"/>
              <w:spacing w:line="300" w:lineRule="exact"/>
              <w:jc w:val="center"/>
              <w:rPr>
                <w:rFonts w:hint="eastAsia" w:ascii="宋体" w:hAnsi="宋体"/>
                <w:spacing w:val="0"/>
                <w:sz w:val="21"/>
                <w:szCs w:val="21"/>
                <w:lang w:val="en-US" w:eastAsia="zh-CN"/>
              </w:rPr>
            </w:pPr>
            <w:r>
              <w:rPr>
                <w:rFonts w:hint="eastAsia" w:ascii="宋体" w:hAnsi="宋体"/>
                <w:spacing w:val="0"/>
                <w:sz w:val="21"/>
                <w:szCs w:val="21"/>
                <w:lang w:val="en-US" w:eastAsia="zh-CN"/>
              </w:rPr>
              <w:t>2012年</w:t>
            </w:r>
          </w:p>
        </w:tc>
      </w:tr>
      <w:tr w14:paraId="5F881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11" w:type="dxa"/>
            <w:noWrap w:val="0"/>
            <w:vAlign w:val="center"/>
          </w:tcPr>
          <w:p w14:paraId="1A0E5181">
            <w:pPr>
              <w:pStyle w:val="23"/>
              <w:spacing w:line="300" w:lineRule="exact"/>
              <w:rPr>
                <w:rFonts w:hint="eastAsia" w:ascii="宋体" w:hAnsi="宋体"/>
                <w:spacing w:val="0"/>
                <w:sz w:val="21"/>
                <w:szCs w:val="21"/>
                <w:lang w:val="en-US" w:eastAsia="zh-CN"/>
              </w:rPr>
            </w:pPr>
            <w:r>
              <w:rPr>
                <w:rFonts w:hint="eastAsia" w:ascii="宋体" w:hAnsi="宋体"/>
                <w:spacing w:val="0"/>
                <w:sz w:val="21"/>
                <w:szCs w:val="21"/>
                <w:lang w:val="en-US" w:eastAsia="zh-CN"/>
              </w:rPr>
              <w:t>供水服务人口</w:t>
            </w:r>
          </w:p>
        </w:tc>
        <w:tc>
          <w:tcPr>
            <w:tcW w:w="5793" w:type="dxa"/>
            <w:noWrap w:val="0"/>
            <w:vAlign w:val="center"/>
          </w:tcPr>
          <w:p w14:paraId="3229D6FD">
            <w:pPr>
              <w:pStyle w:val="23"/>
              <w:spacing w:line="300" w:lineRule="exact"/>
              <w:jc w:val="center"/>
              <w:rPr>
                <w:rFonts w:hint="eastAsia" w:ascii="宋体" w:hAnsi="宋体"/>
                <w:spacing w:val="0"/>
                <w:sz w:val="21"/>
                <w:szCs w:val="21"/>
                <w:lang w:val="en-US" w:eastAsia="zh-CN"/>
              </w:rPr>
            </w:pPr>
            <w:r>
              <w:rPr>
                <w:rFonts w:hint="eastAsia" w:ascii="宋体" w:hAnsi="宋体"/>
                <w:spacing w:val="0"/>
                <w:sz w:val="21"/>
                <w:szCs w:val="21"/>
                <w:lang w:val="en-US" w:eastAsia="zh-CN"/>
              </w:rPr>
              <w:t>3500人</w:t>
            </w:r>
          </w:p>
        </w:tc>
      </w:tr>
      <w:tr w14:paraId="0AE8F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11" w:type="dxa"/>
            <w:noWrap w:val="0"/>
            <w:vAlign w:val="center"/>
          </w:tcPr>
          <w:p w14:paraId="35140184">
            <w:pPr>
              <w:pStyle w:val="23"/>
              <w:spacing w:line="300" w:lineRule="exact"/>
              <w:rPr>
                <w:rFonts w:hint="eastAsia" w:ascii="宋体" w:hAnsi="宋体"/>
                <w:spacing w:val="0"/>
                <w:sz w:val="21"/>
                <w:szCs w:val="21"/>
                <w:lang w:val="en-US" w:eastAsia="zh-CN"/>
              </w:rPr>
            </w:pPr>
            <w:r>
              <w:rPr>
                <w:rFonts w:hint="eastAsia" w:ascii="宋体" w:hAnsi="宋体"/>
                <w:spacing w:val="0"/>
                <w:sz w:val="21"/>
                <w:szCs w:val="21"/>
                <w:lang w:val="en-US" w:eastAsia="zh-CN"/>
              </w:rPr>
              <w:t>供水服务范围</w:t>
            </w:r>
          </w:p>
        </w:tc>
        <w:tc>
          <w:tcPr>
            <w:tcW w:w="5793" w:type="dxa"/>
            <w:noWrap w:val="0"/>
            <w:vAlign w:val="center"/>
          </w:tcPr>
          <w:p w14:paraId="2304D7FE">
            <w:pPr>
              <w:pStyle w:val="23"/>
              <w:spacing w:line="300" w:lineRule="exact"/>
              <w:jc w:val="center"/>
              <w:rPr>
                <w:rFonts w:hint="eastAsia" w:ascii="宋体" w:hAnsi="宋体"/>
                <w:spacing w:val="0"/>
                <w:sz w:val="21"/>
                <w:szCs w:val="21"/>
                <w:lang w:val="en-US" w:eastAsia="zh-CN"/>
              </w:rPr>
            </w:pPr>
            <w:r>
              <w:rPr>
                <w:rFonts w:hint="eastAsia" w:ascii="宋体" w:hAnsi="宋体"/>
                <w:spacing w:val="0"/>
                <w:sz w:val="21"/>
                <w:szCs w:val="21"/>
                <w:lang w:val="en-US" w:eastAsia="zh-CN"/>
              </w:rPr>
              <w:t>五通场镇</w:t>
            </w:r>
          </w:p>
        </w:tc>
      </w:tr>
      <w:tr w14:paraId="707BD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11" w:type="dxa"/>
            <w:noWrap w:val="0"/>
            <w:vAlign w:val="center"/>
          </w:tcPr>
          <w:p w14:paraId="0489CC14">
            <w:pPr>
              <w:pStyle w:val="23"/>
              <w:spacing w:line="300" w:lineRule="exact"/>
              <w:rPr>
                <w:rFonts w:hint="eastAsia" w:ascii="宋体" w:hAnsi="宋体"/>
                <w:spacing w:val="0"/>
                <w:sz w:val="21"/>
                <w:szCs w:val="21"/>
                <w:lang w:val="en-US" w:eastAsia="zh-CN"/>
              </w:rPr>
            </w:pPr>
            <w:r>
              <w:rPr>
                <w:rFonts w:hint="eastAsia" w:ascii="宋体" w:hAnsi="宋体"/>
                <w:spacing w:val="0"/>
                <w:sz w:val="21"/>
                <w:szCs w:val="21"/>
                <w:lang w:val="en-US" w:eastAsia="zh-CN"/>
              </w:rPr>
              <w:t>水厂取水供水工艺流程</w:t>
            </w:r>
          </w:p>
        </w:tc>
        <w:tc>
          <w:tcPr>
            <w:tcW w:w="5793" w:type="dxa"/>
            <w:noWrap w:val="0"/>
            <w:vAlign w:val="center"/>
          </w:tcPr>
          <w:p w14:paraId="45985574">
            <w:pPr>
              <w:pStyle w:val="23"/>
              <w:spacing w:line="300" w:lineRule="exact"/>
              <w:jc w:val="center"/>
              <w:rPr>
                <w:rFonts w:hint="eastAsia" w:ascii="宋体" w:hAnsi="宋体"/>
                <w:spacing w:val="0"/>
                <w:sz w:val="21"/>
                <w:szCs w:val="21"/>
                <w:lang w:val="en-US" w:eastAsia="zh-CN"/>
              </w:rPr>
            </w:pPr>
            <w:r>
              <w:rPr>
                <w:rFonts w:hint="eastAsia" w:ascii="宋体" w:hAnsi="宋体"/>
                <w:spacing w:val="0"/>
                <w:sz w:val="21"/>
                <w:szCs w:val="21"/>
                <w:lang w:val="en-US" w:eastAsia="zh-CN"/>
              </w:rPr>
              <w:t>沉淀、反应、过滤、澄清消毒处理</w:t>
            </w:r>
          </w:p>
        </w:tc>
      </w:tr>
      <w:tr w14:paraId="20DB2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11" w:type="dxa"/>
            <w:noWrap w:val="0"/>
            <w:vAlign w:val="center"/>
          </w:tcPr>
          <w:p w14:paraId="6D7506FC">
            <w:pPr>
              <w:pStyle w:val="23"/>
              <w:spacing w:line="300" w:lineRule="exact"/>
              <w:rPr>
                <w:rFonts w:hint="eastAsia" w:ascii="宋体" w:hAnsi="宋体"/>
                <w:spacing w:val="0"/>
                <w:sz w:val="21"/>
                <w:szCs w:val="21"/>
                <w:lang w:val="en-US" w:eastAsia="zh-CN"/>
              </w:rPr>
            </w:pPr>
            <w:r>
              <w:rPr>
                <w:rFonts w:hint="eastAsia" w:ascii="宋体" w:hAnsi="宋体"/>
                <w:spacing w:val="0"/>
                <w:sz w:val="21"/>
                <w:szCs w:val="21"/>
                <w:lang w:val="en-US" w:eastAsia="zh-CN"/>
              </w:rPr>
              <w:t>水厂取水供水主要设施设备</w:t>
            </w:r>
          </w:p>
        </w:tc>
        <w:tc>
          <w:tcPr>
            <w:tcW w:w="5793" w:type="dxa"/>
            <w:noWrap w:val="0"/>
            <w:vAlign w:val="center"/>
          </w:tcPr>
          <w:p w14:paraId="37875FFF">
            <w:pPr>
              <w:pStyle w:val="23"/>
              <w:spacing w:line="300" w:lineRule="exact"/>
              <w:jc w:val="center"/>
              <w:rPr>
                <w:rFonts w:hint="eastAsia" w:ascii="宋体" w:hAnsi="宋体"/>
                <w:spacing w:val="0"/>
                <w:sz w:val="21"/>
                <w:szCs w:val="21"/>
                <w:lang w:val="en-US" w:eastAsia="zh-CN"/>
              </w:rPr>
            </w:pPr>
            <w:r>
              <w:rPr>
                <w:rFonts w:hint="eastAsia" w:ascii="宋体" w:hAnsi="宋体"/>
                <w:spacing w:val="0"/>
                <w:sz w:val="21"/>
                <w:szCs w:val="21"/>
                <w:lang w:val="en-US" w:eastAsia="zh-CN"/>
              </w:rPr>
              <w:t>PE管网、沉淀净化系统</w:t>
            </w:r>
          </w:p>
        </w:tc>
      </w:tr>
      <w:tr w14:paraId="22595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11" w:type="dxa"/>
            <w:noWrap w:val="0"/>
            <w:vAlign w:val="center"/>
          </w:tcPr>
          <w:p w14:paraId="52B4BBB3">
            <w:pPr>
              <w:pStyle w:val="23"/>
              <w:spacing w:line="300" w:lineRule="exact"/>
              <w:rPr>
                <w:rFonts w:hint="eastAsia" w:ascii="宋体" w:hAnsi="宋体"/>
                <w:spacing w:val="0"/>
                <w:sz w:val="21"/>
                <w:szCs w:val="21"/>
                <w:lang w:val="en-US" w:eastAsia="zh-CN"/>
              </w:rPr>
            </w:pPr>
            <w:r>
              <w:rPr>
                <w:rFonts w:hint="eastAsia" w:ascii="宋体" w:hAnsi="宋体"/>
                <w:spacing w:val="0"/>
                <w:sz w:val="21"/>
                <w:szCs w:val="21"/>
                <w:lang w:val="en-US" w:eastAsia="zh-CN"/>
              </w:rPr>
              <w:t>水厂废水、固废产生种类、处置措施</w:t>
            </w:r>
          </w:p>
        </w:tc>
        <w:tc>
          <w:tcPr>
            <w:tcW w:w="5793" w:type="dxa"/>
            <w:noWrap w:val="0"/>
            <w:vAlign w:val="center"/>
          </w:tcPr>
          <w:p w14:paraId="6C34639A">
            <w:pPr>
              <w:pStyle w:val="23"/>
              <w:spacing w:line="300" w:lineRule="exact"/>
              <w:jc w:val="center"/>
              <w:rPr>
                <w:rFonts w:hint="eastAsia" w:ascii="宋体" w:hAnsi="宋体"/>
                <w:spacing w:val="0"/>
                <w:sz w:val="21"/>
                <w:szCs w:val="21"/>
                <w:lang w:val="en-US" w:eastAsia="zh-CN"/>
              </w:rPr>
            </w:pPr>
            <w:r>
              <w:rPr>
                <w:rFonts w:hint="eastAsia" w:ascii="宋体" w:hAnsi="宋体"/>
                <w:spacing w:val="0"/>
                <w:sz w:val="21"/>
                <w:szCs w:val="21"/>
                <w:lang w:val="en-US" w:eastAsia="zh-CN"/>
              </w:rPr>
              <w:t>尾水外排市政管网，固废交环卫</w:t>
            </w:r>
          </w:p>
        </w:tc>
      </w:tr>
    </w:tbl>
    <w:p w14:paraId="4E1DCE2D">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29" w:name="_Toc25116"/>
      <w:r>
        <w:rPr>
          <w:rFonts w:hint="eastAsia" w:ascii="宋体" w:hAnsi="宋体" w:eastAsia="宋体" w:cs="宋体"/>
          <w:b/>
          <w:bCs/>
          <w:color w:val="000000"/>
          <w:sz w:val="28"/>
          <w:szCs w:val="28"/>
          <w:lang w:val="en-US" w:eastAsia="zh-CN"/>
        </w:rPr>
        <w:t>2.2 饮用水源地保护区划分情况简介</w:t>
      </w:r>
      <w:bookmarkEnd w:id="29"/>
    </w:p>
    <w:p w14:paraId="79CA60E1">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开州区饮用水水源地已划分保护区，其中，开州区五通乡老林沟水源地所在镇（街道）为五通乡。</w:t>
      </w:r>
    </w:p>
    <w:p w14:paraId="481A9D18">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其中，一级保护区水域范围为取水口上游1000米至下游100米的整个水域；陆域范围为30年一遇洪水位至正常水位范围内的陆域，陆域沿岸长度与一级保护区水域长度相同。二级保护区水域范围为取水口上游1000米至2000米，下游100米至200米的整个水域；陆域范围为30年一遇洪水位至正常水位范围内的陆域，陆域沿岸长度与二级保护区水域长度相同。其中，上、下游一、二级保护区水域、陆域均在五通乡境内。</w:t>
      </w:r>
    </w:p>
    <w:p w14:paraId="0EAD7933">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2018年5月根据重庆市人民政府办公厅《关于调整万州等区县（开发区）集中式引用水源地保护区划分及调整方案的通知》（渝府办[2018]7号）要求，对饮用水厂水源地进行了调整，调整后的情况见表2.2-</w:t>
      </w:r>
      <w:r>
        <w:rPr>
          <w:rFonts w:hint="eastAsia" w:cs="宋体"/>
          <w:color w:val="auto"/>
          <w:sz w:val="28"/>
          <w:szCs w:val="28"/>
          <w:lang w:val="en-US" w:eastAsia="zh-CN"/>
        </w:rPr>
        <w:t>1</w:t>
      </w:r>
      <w:r>
        <w:rPr>
          <w:rFonts w:hint="eastAsia" w:ascii="宋体" w:hAnsi="宋体" w:eastAsia="宋体" w:cs="宋体"/>
          <w:color w:val="auto"/>
          <w:sz w:val="28"/>
          <w:szCs w:val="28"/>
          <w:lang w:val="en-US" w:eastAsia="zh-CN"/>
        </w:rPr>
        <w:t>。</w:t>
      </w:r>
    </w:p>
    <w:p w14:paraId="285786C4">
      <w:pPr>
        <w:pStyle w:val="22"/>
        <w:spacing w:line="520" w:lineRule="exact"/>
        <w:ind w:firstLine="0" w:firstLineChars="0"/>
        <w:jc w:val="center"/>
        <w:rPr>
          <w:rFonts w:hint="default" w:ascii="宋体" w:hAnsi="宋体"/>
          <w:b/>
          <w:bCs/>
          <w:sz w:val="22"/>
          <w:szCs w:val="22"/>
          <w:lang w:val="en-US" w:eastAsia="zh-CN"/>
        </w:rPr>
      </w:pPr>
      <w:r>
        <w:rPr>
          <w:rFonts w:hint="eastAsia" w:ascii="宋体" w:hAnsi="宋体"/>
          <w:b/>
          <w:bCs/>
          <w:sz w:val="22"/>
          <w:szCs w:val="22"/>
          <w:lang w:val="en-US" w:eastAsia="zh-CN"/>
        </w:rPr>
        <w:t xml:space="preserve">表2.2-1 </w:t>
      </w:r>
      <w:r>
        <w:rPr>
          <w:rFonts w:hint="eastAsia" w:ascii="宋体" w:hAnsi="宋体"/>
          <w:b/>
          <w:bCs/>
          <w:sz w:val="22"/>
          <w:szCs w:val="22"/>
          <w:lang w:eastAsia="zh-CN"/>
        </w:rPr>
        <w:t>开州区五通乡老林沟饮用水源地调整情况表</w:t>
      </w:r>
    </w:p>
    <w:tbl>
      <w:tblPr>
        <w:tblStyle w:val="16"/>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
        <w:gridCol w:w="1245"/>
        <w:gridCol w:w="576"/>
        <w:gridCol w:w="576"/>
        <w:gridCol w:w="601"/>
        <w:gridCol w:w="489"/>
        <w:gridCol w:w="687"/>
        <w:gridCol w:w="1044"/>
        <w:gridCol w:w="981"/>
        <w:gridCol w:w="924"/>
        <w:gridCol w:w="1092"/>
      </w:tblGrid>
      <w:tr w14:paraId="1ECFA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07" w:type="dxa"/>
            <w:vMerge w:val="restart"/>
            <w:noWrap w:val="0"/>
            <w:tcMar>
              <w:top w:w="15" w:type="dxa"/>
              <w:left w:w="15" w:type="dxa"/>
              <w:bottom w:w="15" w:type="dxa"/>
              <w:right w:w="15" w:type="dxa"/>
            </w:tcMar>
            <w:vAlign w:val="center"/>
          </w:tcPr>
          <w:p w14:paraId="2B5B5D10">
            <w:pPr>
              <w:keepNext w:val="0"/>
              <w:keepLines w:val="0"/>
              <w:pageBreakBefore w:val="0"/>
              <w:kinsoku/>
              <w:wordWrap/>
              <w:overflowPunct/>
              <w:topLinePunct w:val="0"/>
              <w:autoSpaceDE/>
              <w:autoSpaceDN/>
              <w:bidi w:val="0"/>
              <w:spacing w:line="240" w:lineRule="atLeast"/>
              <w:ind w:left="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序号</w:t>
            </w:r>
          </w:p>
        </w:tc>
        <w:tc>
          <w:tcPr>
            <w:tcW w:w="1330" w:type="dxa"/>
            <w:vMerge w:val="restart"/>
            <w:noWrap w:val="0"/>
            <w:tcMar>
              <w:top w:w="15" w:type="dxa"/>
              <w:left w:w="15" w:type="dxa"/>
              <w:bottom w:w="15" w:type="dxa"/>
              <w:right w:w="15" w:type="dxa"/>
            </w:tcMar>
            <w:vAlign w:val="center"/>
          </w:tcPr>
          <w:p w14:paraId="0E8F3F23">
            <w:pPr>
              <w:keepNext w:val="0"/>
              <w:keepLines w:val="0"/>
              <w:pageBreakBefore w:val="0"/>
              <w:kinsoku/>
              <w:wordWrap/>
              <w:overflowPunct/>
              <w:topLinePunct w:val="0"/>
              <w:autoSpaceDE/>
              <w:autoSpaceDN/>
              <w:bidi w:val="0"/>
              <w:spacing w:line="240" w:lineRule="atLeast"/>
              <w:ind w:left="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饮用水源地名称</w:t>
            </w:r>
          </w:p>
        </w:tc>
        <w:tc>
          <w:tcPr>
            <w:tcW w:w="614" w:type="dxa"/>
            <w:vMerge w:val="restart"/>
            <w:noWrap w:val="0"/>
            <w:tcMar>
              <w:top w:w="15" w:type="dxa"/>
              <w:left w:w="15" w:type="dxa"/>
              <w:bottom w:w="15" w:type="dxa"/>
              <w:right w:w="15" w:type="dxa"/>
            </w:tcMar>
            <w:vAlign w:val="center"/>
          </w:tcPr>
          <w:p w14:paraId="6BE91176">
            <w:pPr>
              <w:keepNext w:val="0"/>
              <w:keepLines w:val="0"/>
              <w:pageBreakBefore w:val="0"/>
              <w:kinsoku/>
              <w:wordWrap/>
              <w:overflowPunct/>
              <w:topLinePunct w:val="0"/>
              <w:autoSpaceDE/>
              <w:autoSpaceDN/>
              <w:bidi w:val="0"/>
              <w:spacing w:line="240" w:lineRule="atLeast"/>
              <w:ind w:left="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水源名称</w:t>
            </w:r>
          </w:p>
        </w:tc>
        <w:tc>
          <w:tcPr>
            <w:tcW w:w="614" w:type="dxa"/>
            <w:vMerge w:val="restart"/>
            <w:noWrap w:val="0"/>
            <w:tcMar>
              <w:top w:w="15" w:type="dxa"/>
              <w:left w:w="15" w:type="dxa"/>
              <w:bottom w:w="15" w:type="dxa"/>
              <w:right w:w="15" w:type="dxa"/>
            </w:tcMar>
            <w:vAlign w:val="center"/>
          </w:tcPr>
          <w:p w14:paraId="5E7CA24B">
            <w:pPr>
              <w:keepNext w:val="0"/>
              <w:keepLines w:val="0"/>
              <w:pageBreakBefore w:val="0"/>
              <w:kinsoku/>
              <w:wordWrap/>
              <w:overflowPunct/>
              <w:topLinePunct w:val="0"/>
              <w:autoSpaceDE/>
              <w:autoSpaceDN/>
              <w:bidi w:val="0"/>
              <w:spacing w:line="240" w:lineRule="atLeast"/>
              <w:ind w:left="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水源类型</w:t>
            </w:r>
          </w:p>
        </w:tc>
        <w:tc>
          <w:tcPr>
            <w:tcW w:w="641" w:type="dxa"/>
            <w:vMerge w:val="restart"/>
            <w:noWrap w:val="0"/>
            <w:tcMar>
              <w:top w:w="15" w:type="dxa"/>
              <w:left w:w="15" w:type="dxa"/>
              <w:bottom w:w="15" w:type="dxa"/>
              <w:right w:w="15" w:type="dxa"/>
            </w:tcMar>
            <w:vAlign w:val="center"/>
          </w:tcPr>
          <w:p w14:paraId="31FA30D2">
            <w:pPr>
              <w:keepNext w:val="0"/>
              <w:keepLines w:val="0"/>
              <w:pageBreakBefore w:val="0"/>
              <w:kinsoku/>
              <w:wordWrap/>
              <w:overflowPunct/>
              <w:topLinePunct w:val="0"/>
              <w:autoSpaceDE/>
              <w:autoSpaceDN/>
              <w:bidi w:val="0"/>
              <w:spacing w:line="240" w:lineRule="atLeast"/>
              <w:ind w:left="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水源所在镇（街道）</w:t>
            </w:r>
          </w:p>
        </w:tc>
        <w:tc>
          <w:tcPr>
            <w:tcW w:w="521" w:type="dxa"/>
            <w:vMerge w:val="restart"/>
            <w:noWrap w:val="0"/>
            <w:tcMar>
              <w:top w:w="15" w:type="dxa"/>
              <w:left w:w="15" w:type="dxa"/>
              <w:bottom w:w="15" w:type="dxa"/>
              <w:right w:w="15" w:type="dxa"/>
            </w:tcMar>
            <w:vAlign w:val="center"/>
          </w:tcPr>
          <w:p w14:paraId="5F742AEB">
            <w:pPr>
              <w:keepNext w:val="0"/>
              <w:keepLines w:val="0"/>
              <w:pageBreakBefore w:val="0"/>
              <w:kinsoku/>
              <w:wordWrap/>
              <w:overflowPunct/>
              <w:topLinePunct w:val="0"/>
              <w:autoSpaceDE/>
              <w:autoSpaceDN/>
              <w:bidi w:val="0"/>
              <w:spacing w:line="240" w:lineRule="atLeast"/>
              <w:ind w:left="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使用</w:t>
            </w:r>
          </w:p>
          <w:p w14:paraId="56774DBB">
            <w:pPr>
              <w:keepNext w:val="0"/>
              <w:keepLines w:val="0"/>
              <w:pageBreakBefore w:val="0"/>
              <w:kinsoku/>
              <w:wordWrap/>
              <w:overflowPunct/>
              <w:topLinePunct w:val="0"/>
              <w:autoSpaceDE/>
              <w:autoSpaceDN/>
              <w:bidi w:val="0"/>
              <w:spacing w:line="240" w:lineRule="atLeast"/>
              <w:ind w:left="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状态</w:t>
            </w:r>
          </w:p>
        </w:tc>
        <w:tc>
          <w:tcPr>
            <w:tcW w:w="733" w:type="dxa"/>
            <w:vMerge w:val="restart"/>
            <w:noWrap w:val="0"/>
            <w:tcMar>
              <w:top w:w="15" w:type="dxa"/>
              <w:left w:w="15" w:type="dxa"/>
              <w:bottom w:w="15" w:type="dxa"/>
              <w:right w:w="15" w:type="dxa"/>
            </w:tcMar>
            <w:vAlign w:val="center"/>
          </w:tcPr>
          <w:p w14:paraId="5BCE8421">
            <w:pPr>
              <w:keepNext w:val="0"/>
              <w:keepLines w:val="0"/>
              <w:pageBreakBefore w:val="0"/>
              <w:kinsoku/>
              <w:wordWrap/>
              <w:overflowPunct/>
              <w:topLinePunct w:val="0"/>
              <w:autoSpaceDE/>
              <w:autoSpaceDN/>
              <w:bidi w:val="0"/>
              <w:spacing w:line="240" w:lineRule="atLeast"/>
              <w:ind w:left="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管理单位</w:t>
            </w:r>
          </w:p>
        </w:tc>
        <w:tc>
          <w:tcPr>
            <w:tcW w:w="4311" w:type="dxa"/>
            <w:gridSpan w:val="4"/>
            <w:noWrap w:val="0"/>
            <w:tcMar>
              <w:top w:w="15" w:type="dxa"/>
              <w:left w:w="15" w:type="dxa"/>
              <w:bottom w:w="15" w:type="dxa"/>
              <w:right w:w="15" w:type="dxa"/>
            </w:tcMar>
            <w:vAlign w:val="center"/>
          </w:tcPr>
          <w:p w14:paraId="28FE7FA9">
            <w:pPr>
              <w:keepNext w:val="0"/>
              <w:keepLines w:val="0"/>
              <w:pageBreakBefore w:val="0"/>
              <w:widowControl/>
              <w:kinsoku/>
              <w:wordWrap/>
              <w:overflowPunct/>
              <w:topLinePunct w:val="0"/>
              <w:autoSpaceDE/>
              <w:autoSpaceDN/>
              <w:bidi w:val="0"/>
              <w:adjustRightInd w:val="0"/>
              <w:snapToGrid w:val="0"/>
              <w:spacing w:line="240" w:lineRule="atLeast"/>
              <w:ind w:left="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kern w:val="0"/>
                <w:sz w:val="21"/>
                <w:szCs w:val="21"/>
              </w:rPr>
              <w:t>保护区划分范围</w:t>
            </w:r>
          </w:p>
        </w:tc>
      </w:tr>
      <w:tr w14:paraId="3AE10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07" w:type="dxa"/>
            <w:vMerge w:val="continue"/>
            <w:noWrap w:val="0"/>
            <w:tcMar>
              <w:top w:w="15" w:type="dxa"/>
              <w:left w:w="15" w:type="dxa"/>
              <w:bottom w:w="15" w:type="dxa"/>
              <w:right w:w="15" w:type="dxa"/>
            </w:tcMar>
            <w:vAlign w:val="center"/>
          </w:tcPr>
          <w:p w14:paraId="5FE6D9FB">
            <w:pPr>
              <w:keepNext w:val="0"/>
              <w:keepLines w:val="0"/>
              <w:pageBreakBefore w:val="0"/>
              <w:kinsoku/>
              <w:wordWrap/>
              <w:overflowPunct/>
              <w:topLinePunct w:val="0"/>
              <w:autoSpaceDE/>
              <w:autoSpaceDN/>
              <w:bidi w:val="0"/>
              <w:spacing w:line="240" w:lineRule="atLeast"/>
              <w:ind w:left="0"/>
              <w:jc w:val="center"/>
              <w:textAlignment w:val="auto"/>
              <w:rPr>
                <w:rFonts w:hint="eastAsia" w:ascii="宋体" w:hAnsi="宋体" w:eastAsia="宋体" w:cs="宋体"/>
                <w:b/>
                <w:bCs/>
                <w:color w:val="auto"/>
                <w:sz w:val="21"/>
                <w:szCs w:val="21"/>
              </w:rPr>
            </w:pPr>
          </w:p>
        </w:tc>
        <w:tc>
          <w:tcPr>
            <w:tcW w:w="1330" w:type="dxa"/>
            <w:vMerge w:val="continue"/>
            <w:noWrap w:val="0"/>
            <w:tcMar>
              <w:top w:w="15" w:type="dxa"/>
              <w:left w:w="15" w:type="dxa"/>
              <w:bottom w:w="15" w:type="dxa"/>
              <w:right w:w="15" w:type="dxa"/>
            </w:tcMar>
            <w:vAlign w:val="center"/>
          </w:tcPr>
          <w:p w14:paraId="463751F4">
            <w:pPr>
              <w:keepNext w:val="0"/>
              <w:keepLines w:val="0"/>
              <w:pageBreakBefore w:val="0"/>
              <w:kinsoku/>
              <w:wordWrap/>
              <w:overflowPunct/>
              <w:topLinePunct w:val="0"/>
              <w:autoSpaceDE/>
              <w:autoSpaceDN/>
              <w:bidi w:val="0"/>
              <w:spacing w:line="240" w:lineRule="atLeast"/>
              <w:ind w:left="0"/>
              <w:jc w:val="center"/>
              <w:textAlignment w:val="auto"/>
              <w:rPr>
                <w:rFonts w:hint="eastAsia" w:ascii="宋体" w:hAnsi="宋体" w:eastAsia="宋体" w:cs="宋体"/>
                <w:b/>
                <w:bCs/>
                <w:color w:val="auto"/>
                <w:sz w:val="21"/>
                <w:szCs w:val="21"/>
              </w:rPr>
            </w:pPr>
          </w:p>
        </w:tc>
        <w:tc>
          <w:tcPr>
            <w:tcW w:w="614" w:type="dxa"/>
            <w:vMerge w:val="continue"/>
            <w:noWrap w:val="0"/>
            <w:tcMar>
              <w:top w:w="15" w:type="dxa"/>
              <w:left w:w="15" w:type="dxa"/>
              <w:bottom w:w="15" w:type="dxa"/>
              <w:right w:w="15" w:type="dxa"/>
            </w:tcMar>
            <w:vAlign w:val="center"/>
          </w:tcPr>
          <w:p w14:paraId="02C0DA85">
            <w:pPr>
              <w:keepNext w:val="0"/>
              <w:keepLines w:val="0"/>
              <w:pageBreakBefore w:val="0"/>
              <w:kinsoku/>
              <w:wordWrap/>
              <w:overflowPunct/>
              <w:topLinePunct w:val="0"/>
              <w:autoSpaceDE/>
              <w:autoSpaceDN/>
              <w:bidi w:val="0"/>
              <w:spacing w:line="240" w:lineRule="atLeast"/>
              <w:ind w:left="0"/>
              <w:jc w:val="center"/>
              <w:textAlignment w:val="auto"/>
              <w:rPr>
                <w:rFonts w:hint="eastAsia" w:ascii="宋体" w:hAnsi="宋体" w:eastAsia="宋体" w:cs="宋体"/>
                <w:b/>
                <w:bCs/>
                <w:color w:val="auto"/>
                <w:sz w:val="21"/>
                <w:szCs w:val="21"/>
              </w:rPr>
            </w:pPr>
          </w:p>
        </w:tc>
        <w:tc>
          <w:tcPr>
            <w:tcW w:w="614" w:type="dxa"/>
            <w:vMerge w:val="continue"/>
            <w:noWrap w:val="0"/>
            <w:tcMar>
              <w:top w:w="15" w:type="dxa"/>
              <w:left w:w="15" w:type="dxa"/>
              <w:bottom w:w="15" w:type="dxa"/>
              <w:right w:w="15" w:type="dxa"/>
            </w:tcMar>
            <w:vAlign w:val="center"/>
          </w:tcPr>
          <w:p w14:paraId="553F6200">
            <w:pPr>
              <w:keepNext w:val="0"/>
              <w:keepLines w:val="0"/>
              <w:pageBreakBefore w:val="0"/>
              <w:kinsoku/>
              <w:wordWrap/>
              <w:overflowPunct/>
              <w:topLinePunct w:val="0"/>
              <w:autoSpaceDE/>
              <w:autoSpaceDN/>
              <w:bidi w:val="0"/>
              <w:spacing w:line="240" w:lineRule="atLeast"/>
              <w:ind w:left="0"/>
              <w:jc w:val="center"/>
              <w:textAlignment w:val="auto"/>
              <w:rPr>
                <w:rFonts w:hint="eastAsia" w:ascii="宋体" w:hAnsi="宋体" w:eastAsia="宋体" w:cs="宋体"/>
                <w:b/>
                <w:bCs/>
                <w:color w:val="auto"/>
                <w:sz w:val="21"/>
                <w:szCs w:val="21"/>
              </w:rPr>
            </w:pPr>
          </w:p>
        </w:tc>
        <w:tc>
          <w:tcPr>
            <w:tcW w:w="641" w:type="dxa"/>
            <w:vMerge w:val="continue"/>
            <w:noWrap w:val="0"/>
            <w:tcMar>
              <w:top w:w="15" w:type="dxa"/>
              <w:left w:w="15" w:type="dxa"/>
              <w:bottom w:w="15" w:type="dxa"/>
              <w:right w:w="15" w:type="dxa"/>
            </w:tcMar>
            <w:vAlign w:val="center"/>
          </w:tcPr>
          <w:p w14:paraId="1006C958">
            <w:pPr>
              <w:keepNext w:val="0"/>
              <w:keepLines w:val="0"/>
              <w:pageBreakBefore w:val="0"/>
              <w:kinsoku/>
              <w:wordWrap/>
              <w:overflowPunct/>
              <w:topLinePunct w:val="0"/>
              <w:autoSpaceDE/>
              <w:autoSpaceDN/>
              <w:bidi w:val="0"/>
              <w:spacing w:line="240" w:lineRule="atLeast"/>
              <w:ind w:left="0"/>
              <w:jc w:val="center"/>
              <w:textAlignment w:val="auto"/>
              <w:rPr>
                <w:rFonts w:hint="eastAsia" w:ascii="宋体" w:hAnsi="宋体" w:eastAsia="宋体" w:cs="宋体"/>
                <w:b/>
                <w:bCs/>
                <w:color w:val="auto"/>
                <w:sz w:val="21"/>
                <w:szCs w:val="21"/>
              </w:rPr>
            </w:pPr>
          </w:p>
        </w:tc>
        <w:tc>
          <w:tcPr>
            <w:tcW w:w="521" w:type="dxa"/>
            <w:vMerge w:val="continue"/>
            <w:noWrap w:val="0"/>
            <w:tcMar>
              <w:top w:w="15" w:type="dxa"/>
              <w:left w:w="15" w:type="dxa"/>
              <w:bottom w:w="15" w:type="dxa"/>
              <w:right w:w="15" w:type="dxa"/>
            </w:tcMar>
            <w:vAlign w:val="center"/>
          </w:tcPr>
          <w:p w14:paraId="2542DB1F">
            <w:pPr>
              <w:keepNext w:val="0"/>
              <w:keepLines w:val="0"/>
              <w:pageBreakBefore w:val="0"/>
              <w:kinsoku/>
              <w:wordWrap/>
              <w:overflowPunct/>
              <w:topLinePunct w:val="0"/>
              <w:autoSpaceDE/>
              <w:autoSpaceDN/>
              <w:bidi w:val="0"/>
              <w:spacing w:line="240" w:lineRule="atLeast"/>
              <w:ind w:left="0"/>
              <w:jc w:val="center"/>
              <w:textAlignment w:val="auto"/>
              <w:rPr>
                <w:rFonts w:hint="eastAsia" w:ascii="宋体" w:hAnsi="宋体" w:eastAsia="宋体" w:cs="宋体"/>
                <w:b/>
                <w:bCs/>
                <w:color w:val="auto"/>
                <w:sz w:val="21"/>
                <w:szCs w:val="21"/>
              </w:rPr>
            </w:pPr>
          </w:p>
        </w:tc>
        <w:tc>
          <w:tcPr>
            <w:tcW w:w="733" w:type="dxa"/>
            <w:vMerge w:val="continue"/>
            <w:noWrap w:val="0"/>
            <w:tcMar>
              <w:top w:w="15" w:type="dxa"/>
              <w:left w:w="15" w:type="dxa"/>
              <w:bottom w:w="15" w:type="dxa"/>
              <w:right w:w="15" w:type="dxa"/>
            </w:tcMar>
            <w:vAlign w:val="center"/>
          </w:tcPr>
          <w:p w14:paraId="19E2228A">
            <w:pPr>
              <w:keepNext w:val="0"/>
              <w:keepLines w:val="0"/>
              <w:pageBreakBefore w:val="0"/>
              <w:kinsoku/>
              <w:wordWrap/>
              <w:overflowPunct/>
              <w:topLinePunct w:val="0"/>
              <w:autoSpaceDE/>
              <w:autoSpaceDN/>
              <w:bidi w:val="0"/>
              <w:spacing w:line="240" w:lineRule="atLeast"/>
              <w:ind w:left="0"/>
              <w:jc w:val="center"/>
              <w:textAlignment w:val="auto"/>
              <w:rPr>
                <w:rFonts w:hint="eastAsia" w:ascii="宋体" w:hAnsi="宋体" w:eastAsia="宋体" w:cs="宋体"/>
                <w:b/>
                <w:bCs/>
                <w:color w:val="auto"/>
                <w:sz w:val="21"/>
                <w:szCs w:val="21"/>
              </w:rPr>
            </w:pPr>
          </w:p>
        </w:tc>
        <w:tc>
          <w:tcPr>
            <w:tcW w:w="2161" w:type="dxa"/>
            <w:gridSpan w:val="2"/>
            <w:noWrap w:val="0"/>
            <w:tcMar>
              <w:top w:w="15" w:type="dxa"/>
              <w:left w:w="15" w:type="dxa"/>
              <w:bottom w:w="15" w:type="dxa"/>
              <w:right w:w="15" w:type="dxa"/>
            </w:tcMar>
            <w:vAlign w:val="center"/>
          </w:tcPr>
          <w:p w14:paraId="4CAC7729">
            <w:pPr>
              <w:keepNext w:val="0"/>
              <w:keepLines w:val="0"/>
              <w:pageBreakBefore w:val="0"/>
              <w:widowControl/>
              <w:kinsoku/>
              <w:wordWrap/>
              <w:overflowPunct/>
              <w:topLinePunct w:val="0"/>
              <w:autoSpaceDE/>
              <w:autoSpaceDN/>
              <w:bidi w:val="0"/>
              <w:adjustRightInd w:val="0"/>
              <w:snapToGrid w:val="0"/>
              <w:spacing w:line="240" w:lineRule="atLeast"/>
              <w:ind w:left="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kern w:val="0"/>
                <w:sz w:val="21"/>
                <w:szCs w:val="21"/>
              </w:rPr>
              <w:t>一级保护区</w:t>
            </w:r>
          </w:p>
        </w:tc>
        <w:tc>
          <w:tcPr>
            <w:tcW w:w="2150" w:type="dxa"/>
            <w:gridSpan w:val="2"/>
            <w:noWrap w:val="0"/>
            <w:tcMar>
              <w:top w:w="15" w:type="dxa"/>
              <w:left w:w="15" w:type="dxa"/>
              <w:bottom w:w="15" w:type="dxa"/>
              <w:right w:w="15" w:type="dxa"/>
            </w:tcMar>
            <w:vAlign w:val="center"/>
          </w:tcPr>
          <w:p w14:paraId="4236A3D8">
            <w:pPr>
              <w:keepNext w:val="0"/>
              <w:keepLines w:val="0"/>
              <w:pageBreakBefore w:val="0"/>
              <w:widowControl/>
              <w:kinsoku/>
              <w:wordWrap/>
              <w:overflowPunct/>
              <w:topLinePunct w:val="0"/>
              <w:autoSpaceDE/>
              <w:autoSpaceDN/>
              <w:bidi w:val="0"/>
              <w:adjustRightInd w:val="0"/>
              <w:snapToGrid w:val="0"/>
              <w:spacing w:line="240" w:lineRule="atLeast"/>
              <w:ind w:left="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kern w:val="0"/>
                <w:sz w:val="21"/>
                <w:szCs w:val="21"/>
              </w:rPr>
              <w:t>二级保护区</w:t>
            </w:r>
          </w:p>
        </w:tc>
      </w:tr>
      <w:tr w14:paraId="126CC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07" w:type="dxa"/>
            <w:vMerge w:val="continue"/>
            <w:noWrap w:val="0"/>
            <w:tcMar>
              <w:top w:w="15" w:type="dxa"/>
              <w:left w:w="15" w:type="dxa"/>
              <w:bottom w:w="15" w:type="dxa"/>
              <w:right w:w="15" w:type="dxa"/>
            </w:tcMar>
            <w:vAlign w:val="center"/>
          </w:tcPr>
          <w:p w14:paraId="4F23BCCC">
            <w:pPr>
              <w:keepNext w:val="0"/>
              <w:keepLines w:val="0"/>
              <w:pageBreakBefore w:val="0"/>
              <w:kinsoku/>
              <w:wordWrap/>
              <w:overflowPunct/>
              <w:topLinePunct w:val="0"/>
              <w:autoSpaceDE/>
              <w:autoSpaceDN/>
              <w:bidi w:val="0"/>
              <w:spacing w:line="240" w:lineRule="atLeast"/>
              <w:ind w:left="0"/>
              <w:jc w:val="center"/>
              <w:textAlignment w:val="auto"/>
              <w:rPr>
                <w:rFonts w:hint="eastAsia" w:ascii="宋体" w:hAnsi="宋体" w:eastAsia="宋体" w:cs="宋体"/>
                <w:b/>
                <w:bCs/>
                <w:color w:val="auto"/>
                <w:sz w:val="21"/>
                <w:szCs w:val="21"/>
              </w:rPr>
            </w:pPr>
          </w:p>
        </w:tc>
        <w:tc>
          <w:tcPr>
            <w:tcW w:w="1330" w:type="dxa"/>
            <w:vMerge w:val="continue"/>
            <w:noWrap w:val="0"/>
            <w:tcMar>
              <w:top w:w="15" w:type="dxa"/>
              <w:left w:w="15" w:type="dxa"/>
              <w:bottom w:w="15" w:type="dxa"/>
              <w:right w:w="15" w:type="dxa"/>
            </w:tcMar>
            <w:vAlign w:val="center"/>
          </w:tcPr>
          <w:p w14:paraId="322F6254">
            <w:pPr>
              <w:keepNext w:val="0"/>
              <w:keepLines w:val="0"/>
              <w:pageBreakBefore w:val="0"/>
              <w:kinsoku/>
              <w:wordWrap/>
              <w:overflowPunct/>
              <w:topLinePunct w:val="0"/>
              <w:autoSpaceDE/>
              <w:autoSpaceDN/>
              <w:bidi w:val="0"/>
              <w:spacing w:line="240" w:lineRule="atLeast"/>
              <w:ind w:left="0"/>
              <w:jc w:val="center"/>
              <w:textAlignment w:val="auto"/>
              <w:rPr>
                <w:rFonts w:hint="eastAsia" w:ascii="宋体" w:hAnsi="宋体" w:eastAsia="宋体" w:cs="宋体"/>
                <w:b/>
                <w:bCs/>
                <w:color w:val="auto"/>
                <w:sz w:val="21"/>
                <w:szCs w:val="21"/>
              </w:rPr>
            </w:pPr>
          </w:p>
        </w:tc>
        <w:tc>
          <w:tcPr>
            <w:tcW w:w="614" w:type="dxa"/>
            <w:vMerge w:val="continue"/>
            <w:noWrap w:val="0"/>
            <w:tcMar>
              <w:top w:w="15" w:type="dxa"/>
              <w:left w:w="15" w:type="dxa"/>
              <w:bottom w:w="15" w:type="dxa"/>
              <w:right w:w="15" w:type="dxa"/>
            </w:tcMar>
            <w:vAlign w:val="center"/>
          </w:tcPr>
          <w:p w14:paraId="1D0F3C2F">
            <w:pPr>
              <w:keepNext w:val="0"/>
              <w:keepLines w:val="0"/>
              <w:pageBreakBefore w:val="0"/>
              <w:kinsoku/>
              <w:wordWrap/>
              <w:overflowPunct/>
              <w:topLinePunct w:val="0"/>
              <w:autoSpaceDE/>
              <w:autoSpaceDN/>
              <w:bidi w:val="0"/>
              <w:spacing w:line="240" w:lineRule="atLeast"/>
              <w:ind w:left="0"/>
              <w:jc w:val="center"/>
              <w:textAlignment w:val="auto"/>
              <w:rPr>
                <w:rFonts w:hint="eastAsia" w:ascii="宋体" w:hAnsi="宋体" w:eastAsia="宋体" w:cs="宋体"/>
                <w:b/>
                <w:bCs/>
                <w:color w:val="auto"/>
                <w:sz w:val="21"/>
                <w:szCs w:val="21"/>
              </w:rPr>
            </w:pPr>
          </w:p>
        </w:tc>
        <w:tc>
          <w:tcPr>
            <w:tcW w:w="614" w:type="dxa"/>
            <w:vMerge w:val="continue"/>
            <w:noWrap w:val="0"/>
            <w:tcMar>
              <w:top w:w="15" w:type="dxa"/>
              <w:left w:w="15" w:type="dxa"/>
              <w:bottom w:w="15" w:type="dxa"/>
              <w:right w:w="15" w:type="dxa"/>
            </w:tcMar>
            <w:vAlign w:val="center"/>
          </w:tcPr>
          <w:p w14:paraId="4E4341EB">
            <w:pPr>
              <w:keepNext w:val="0"/>
              <w:keepLines w:val="0"/>
              <w:pageBreakBefore w:val="0"/>
              <w:kinsoku/>
              <w:wordWrap/>
              <w:overflowPunct/>
              <w:topLinePunct w:val="0"/>
              <w:autoSpaceDE/>
              <w:autoSpaceDN/>
              <w:bidi w:val="0"/>
              <w:spacing w:line="240" w:lineRule="atLeast"/>
              <w:ind w:left="0"/>
              <w:jc w:val="center"/>
              <w:textAlignment w:val="auto"/>
              <w:rPr>
                <w:rFonts w:hint="eastAsia" w:ascii="宋体" w:hAnsi="宋体" w:eastAsia="宋体" w:cs="宋体"/>
                <w:b/>
                <w:bCs/>
                <w:color w:val="auto"/>
                <w:sz w:val="21"/>
                <w:szCs w:val="21"/>
              </w:rPr>
            </w:pPr>
          </w:p>
        </w:tc>
        <w:tc>
          <w:tcPr>
            <w:tcW w:w="641" w:type="dxa"/>
            <w:vMerge w:val="continue"/>
            <w:noWrap w:val="0"/>
            <w:tcMar>
              <w:top w:w="15" w:type="dxa"/>
              <w:left w:w="15" w:type="dxa"/>
              <w:bottom w:w="15" w:type="dxa"/>
              <w:right w:w="15" w:type="dxa"/>
            </w:tcMar>
            <w:vAlign w:val="center"/>
          </w:tcPr>
          <w:p w14:paraId="2A9EA865">
            <w:pPr>
              <w:keepNext w:val="0"/>
              <w:keepLines w:val="0"/>
              <w:pageBreakBefore w:val="0"/>
              <w:kinsoku/>
              <w:wordWrap/>
              <w:overflowPunct/>
              <w:topLinePunct w:val="0"/>
              <w:autoSpaceDE/>
              <w:autoSpaceDN/>
              <w:bidi w:val="0"/>
              <w:spacing w:line="240" w:lineRule="atLeast"/>
              <w:ind w:left="0"/>
              <w:jc w:val="center"/>
              <w:textAlignment w:val="auto"/>
              <w:rPr>
                <w:rFonts w:hint="eastAsia" w:ascii="宋体" w:hAnsi="宋体" w:eastAsia="宋体" w:cs="宋体"/>
                <w:b/>
                <w:bCs/>
                <w:color w:val="auto"/>
                <w:sz w:val="21"/>
                <w:szCs w:val="21"/>
              </w:rPr>
            </w:pPr>
          </w:p>
        </w:tc>
        <w:tc>
          <w:tcPr>
            <w:tcW w:w="521" w:type="dxa"/>
            <w:vMerge w:val="continue"/>
            <w:noWrap w:val="0"/>
            <w:tcMar>
              <w:top w:w="15" w:type="dxa"/>
              <w:left w:w="15" w:type="dxa"/>
              <w:bottom w:w="15" w:type="dxa"/>
              <w:right w:w="15" w:type="dxa"/>
            </w:tcMar>
            <w:vAlign w:val="center"/>
          </w:tcPr>
          <w:p w14:paraId="0C760D8F">
            <w:pPr>
              <w:keepNext w:val="0"/>
              <w:keepLines w:val="0"/>
              <w:pageBreakBefore w:val="0"/>
              <w:kinsoku/>
              <w:wordWrap/>
              <w:overflowPunct/>
              <w:topLinePunct w:val="0"/>
              <w:autoSpaceDE/>
              <w:autoSpaceDN/>
              <w:bidi w:val="0"/>
              <w:spacing w:line="240" w:lineRule="atLeast"/>
              <w:ind w:left="0"/>
              <w:jc w:val="center"/>
              <w:textAlignment w:val="auto"/>
              <w:rPr>
                <w:rFonts w:hint="eastAsia" w:ascii="宋体" w:hAnsi="宋体" w:eastAsia="宋体" w:cs="宋体"/>
                <w:b/>
                <w:bCs/>
                <w:color w:val="auto"/>
                <w:sz w:val="21"/>
                <w:szCs w:val="21"/>
              </w:rPr>
            </w:pPr>
          </w:p>
        </w:tc>
        <w:tc>
          <w:tcPr>
            <w:tcW w:w="733" w:type="dxa"/>
            <w:vMerge w:val="continue"/>
            <w:noWrap w:val="0"/>
            <w:tcMar>
              <w:top w:w="15" w:type="dxa"/>
              <w:left w:w="15" w:type="dxa"/>
              <w:bottom w:w="15" w:type="dxa"/>
              <w:right w:w="15" w:type="dxa"/>
            </w:tcMar>
            <w:vAlign w:val="center"/>
          </w:tcPr>
          <w:p w14:paraId="77369B2E">
            <w:pPr>
              <w:keepNext w:val="0"/>
              <w:keepLines w:val="0"/>
              <w:pageBreakBefore w:val="0"/>
              <w:kinsoku/>
              <w:wordWrap/>
              <w:overflowPunct/>
              <w:topLinePunct w:val="0"/>
              <w:autoSpaceDE/>
              <w:autoSpaceDN/>
              <w:bidi w:val="0"/>
              <w:spacing w:line="240" w:lineRule="atLeast"/>
              <w:ind w:left="0"/>
              <w:jc w:val="center"/>
              <w:textAlignment w:val="auto"/>
              <w:rPr>
                <w:rFonts w:hint="eastAsia" w:ascii="宋体" w:hAnsi="宋体" w:eastAsia="宋体" w:cs="宋体"/>
                <w:b/>
                <w:bCs/>
                <w:color w:val="auto"/>
                <w:sz w:val="21"/>
                <w:szCs w:val="21"/>
              </w:rPr>
            </w:pPr>
          </w:p>
        </w:tc>
        <w:tc>
          <w:tcPr>
            <w:tcW w:w="1114" w:type="dxa"/>
            <w:noWrap w:val="0"/>
            <w:tcMar>
              <w:top w:w="15" w:type="dxa"/>
              <w:left w:w="15" w:type="dxa"/>
              <w:bottom w:w="15" w:type="dxa"/>
              <w:right w:w="15" w:type="dxa"/>
            </w:tcMar>
            <w:vAlign w:val="center"/>
          </w:tcPr>
          <w:p w14:paraId="4BBEC41A">
            <w:pPr>
              <w:keepNext w:val="0"/>
              <w:keepLines w:val="0"/>
              <w:pageBreakBefore w:val="0"/>
              <w:widowControl/>
              <w:kinsoku/>
              <w:wordWrap/>
              <w:overflowPunct/>
              <w:topLinePunct w:val="0"/>
              <w:autoSpaceDE/>
              <w:autoSpaceDN/>
              <w:bidi w:val="0"/>
              <w:adjustRightInd w:val="0"/>
              <w:snapToGrid w:val="0"/>
              <w:spacing w:line="240" w:lineRule="atLeast"/>
              <w:ind w:left="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kern w:val="0"/>
                <w:sz w:val="21"/>
                <w:szCs w:val="21"/>
              </w:rPr>
              <w:t>水域范围</w:t>
            </w:r>
          </w:p>
        </w:tc>
        <w:tc>
          <w:tcPr>
            <w:tcW w:w="1047" w:type="dxa"/>
            <w:noWrap w:val="0"/>
            <w:tcMar>
              <w:top w:w="15" w:type="dxa"/>
              <w:left w:w="15" w:type="dxa"/>
              <w:bottom w:w="15" w:type="dxa"/>
              <w:right w:w="15" w:type="dxa"/>
            </w:tcMar>
            <w:vAlign w:val="center"/>
          </w:tcPr>
          <w:p w14:paraId="10C433CE">
            <w:pPr>
              <w:keepNext w:val="0"/>
              <w:keepLines w:val="0"/>
              <w:pageBreakBefore w:val="0"/>
              <w:widowControl/>
              <w:kinsoku/>
              <w:wordWrap/>
              <w:overflowPunct/>
              <w:topLinePunct w:val="0"/>
              <w:autoSpaceDE/>
              <w:autoSpaceDN/>
              <w:bidi w:val="0"/>
              <w:adjustRightInd w:val="0"/>
              <w:snapToGrid w:val="0"/>
              <w:spacing w:line="240" w:lineRule="atLeast"/>
              <w:ind w:left="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kern w:val="0"/>
                <w:sz w:val="21"/>
                <w:szCs w:val="21"/>
              </w:rPr>
              <w:t>陆域范围</w:t>
            </w:r>
          </w:p>
        </w:tc>
        <w:tc>
          <w:tcPr>
            <w:tcW w:w="985" w:type="dxa"/>
            <w:noWrap w:val="0"/>
            <w:tcMar>
              <w:top w:w="15" w:type="dxa"/>
              <w:left w:w="15" w:type="dxa"/>
              <w:bottom w:w="15" w:type="dxa"/>
              <w:right w:w="15" w:type="dxa"/>
            </w:tcMar>
            <w:vAlign w:val="center"/>
          </w:tcPr>
          <w:p w14:paraId="196F8766">
            <w:pPr>
              <w:keepNext w:val="0"/>
              <w:keepLines w:val="0"/>
              <w:pageBreakBefore w:val="0"/>
              <w:widowControl/>
              <w:kinsoku/>
              <w:wordWrap/>
              <w:overflowPunct/>
              <w:topLinePunct w:val="0"/>
              <w:autoSpaceDE/>
              <w:autoSpaceDN/>
              <w:bidi w:val="0"/>
              <w:adjustRightInd w:val="0"/>
              <w:snapToGrid w:val="0"/>
              <w:spacing w:line="240" w:lineRule="atLeast"/>
              <w:ind w:left="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kern w:val="0"/>
                <w:sz w:val="21"/>
                <w:szCs w:val="21"/>
              </w:rPr>
              <w:t>水域范围</w:t>
            </w:r>
          </w:p>
        </w:tc>
        <w:tc>
          <w:tcPr>
            <w:tcW w:w="1165" w:type="dxa"/>
            <w:noWrap w:val="0"/>
            <w:tcMar>
              <w:top w:w="15" w:type="dxa"/>
              <w:left w:w="15" w:type="dxa"/>
              <w:bottom w:w="15" w:type="dxa"/>
              <w:right w:w="15" w:type="dxa"/>
            </w:tcMar>
            <w:vAlign w:val="center"/>
          </w:tcPr>
          <w:p w14:paraId="71709493">
            <w:pPr>
              <w:keepNext w:val="0"/>
              <w:keepLines w:val="0"/>
              <w:pageBreakBefore w:val="0"/>
              <w:widowControl/>
              <w:kinsoku/>
              <w:wordWrap/>
              <w:overflowPunct/>
              <w:topLinePunct w:val="0"/>
              <w:autoSpaceDE/>
              <w:autoSpaceDN/>
              <w:bidi w:val="0"/>
              <w:adjustRightInd w:val="0"/>
              <w:snapToGrid w:val="0"/>
              <w:spacing w:line="240" w:lineRule="atLeast"/>
              <w:ind w:left="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kern w:val="0"/>
                <w:sz w:val="21"/>
                <w:szCs w:val="21"/>
              </w:rPr>
              <w:t>陆域范围</w:t>
            </w:r>
          </w:p>
        </w:tc>
      </w:tr>
      <w:tr w14:paraId="2E522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dxa"/>
            <w:noWrap w:val="0"/>
            <w:tcMar>
              <w:top w:w="15" w:type="dxa"/>
              <w:left w:w="15" w:type="dxa"/>
              <w:bottom w:w="15" w:type="dxa"/>
              <w:right w:w="15" w:type="dxa"/>
            </w:tcMar>
            <w:vAlign w:val="center"/>
          </w:tcPr>
          <w:p w14:paraId="5B231590">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1</w:t>
            </w:r>
          </w:p>
        </w:tc>
        <w:tc>
          <w:tcPr>
            <w:tcW w:w="1330" w:type="dxa"/>
            <w:noWrap w:val="0"/>
            <w:tcMar>
              <w:top w:w="15" w:type="dxa"/>
              <w:left w:w="15" w:type="dxa"/>
              <w:bottom w:w="15" w:type="dxa"/>
              <w:right w:w="15" w:type="dxa"/>
            </w:tcMar>
            <w:vAlign w:val="center"/>
          </w:tcPr>
          <w:p w14:paraId="09C65B19">
            <w:pPr>
              <w:keepNext w:val="0"/>
              <w:keepLines w:val="0"/>
              <w:pageBreakBefore w:val="0"/>
              <w:widowControl/>
              <w:kinsoku/>
              <w:wordWrap/>
              <w:overflowPunct/>
              <w:topLinePunct w:val="0"/>
              <w:autoSpaceDE/>
              <w:autoSpaceDN/>
              <w:bidi w:val="0"/>
              <w:adjustRightInd w:val="0"/>
              <w:spacing w:line="240" w:lineRule="auto"/>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eastAsia="zh-CN"/>
              </w:rPr>
              <w:t>开州区五通乡老林沟饮用水源地</w:t>
            </w:r>
          </w:p>
        </w:tc>
        <w:tc>
          <w:tcPr>
            <w:tcW w:w="614" w:type="dxa"/>
            <w:noWrap w:val="0"/>
            <w:tcMar>
              <w:top w:w="15" w:type="dxa"/>
              <w:left w:w="15" w:type="dxa"/>
              <w:bottom w:w="15" w:type="dxa"/>
              <w:right w:w="15" w:type="dxa"/>
            </w:tcMar>
            <w:vAlign w:val="center"/>
          </w:tcPr>
          <w:p w14:paraId="376BA949">
            <w:pPr>
              <w:keepNext w:val="0"/>
              <w:keepLines w:val="0"/>
              <w:pageBreakBefore w:val="0"/>
              <w:widowControl/>
              <w:kinsoku/>
              <w:wordWrap/>
              <w:overflowPunct/>
              <w:topLinePunct w:val="0"/>
              <w:autoSpaceDE/>
              <w:autoSpaceDN/>
              <w:bidi w:val="0"/>
              <w:adjustRightInd w:val="0"/>
              <w:spacing w:line="240" w:lineRule="auto"/>
              <w:jc w:val="center"/>
              <w:textAlignment w:val="auto"/>
              <w:rPr>
                <w:rFonts w:hint="eastAsia"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老林沟</w:t>
            </w:r>
          </w:p>
        </w:tc>
        <w:tc>
          <w:tcPr>
            <w:tcW w:w="614" w:type="dxa"/>
            <w:noWrap w:val="0"/>
            <w:tcMar>
              <w:top w:w="15" w:type="dxa"/>
              <w:left w:w="15" w:type="dxa"/>
              <w:bottom w:w="15" w:type="dxa"/>
              <w:right w:w="15" w:type="dxa"/>
            </w:tcMar>
            <w:vAlign w:val="center"/>
          </w:tcPr>
          <w:p w14:paraId="35F828ED">
            <w:pPr>
              <w:keepNext w:val="0"/>
              <w:keepLines w:val="0"/>
              <w:pageBreakBefore w:val="0"/>
              <w:widowControl/>
              <w:kinsoku/>
              <w:wordWrap/>
              <w:overflowPunct/>
              <w:topLinePunct w:val="0"/>
              <w:autoSpaceDE/>
              <w:autoSpaceDN/>
              <w:bidi w:val="0"/>
              <w:adjustRightInd w:val="0"/>
              <w:spacing w:line="240" w:lineRule="auto"/>
              <w:jc w:val="center"/>
              <w:textAlignment w:val="auto"/>
              <w:rPr>
                <w:rFonts w:hint="eastAsia"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河流型</w:t>
            </w:r>
          </w:p>
        </w:tc>
        <w:tc>
          <w:tcPr>
            <w:tcW w:w="641" w:type="dxa"/>
            <w:noWrap w:val="0"/>
            <w:tcMar>
              <w:top w:w="15" w:type="dxa"/>
              <w:left w:w="15" w:type="dxa"/>
              <w:bottom w:w="15" w:type="dxa"/>
              <w:right w:w="15" w:type="dxa"/>
            </w:tcMar>
            <w:vAlign w:val="center"/>
          </w:tcPr>
          <w:p w14:paraId="12AE21FF">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五通乡</w:t>
            </w:r>
          </w:p>
        </w:tc>
        <w:tc>
          <w:tcPr>
            <w:tcW w:w="521" w:type="dxa"/>
            <w:noWrap w:val="0"/>
            <w:tcMar>
              <w:top w:w="15" w:type="dxa"/>
              <w:left w:w="15" w:type="dxa"/>
              <w:bottom w:w="15" w:type="dxa"/>
              <w:right w:w="15" w:type="dxa"/>
            </w:tcMar>
            <w:vAlign w:val="center"/>
          </w:tcPr>
          <w:p w14:paraId="2EB40404">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正常</w:t>
            </w:r>
          </w:p>
        </w:tc>
        <w:tc>
          <w:tcPr>
            <w:tcW w:w="733" w:type="dxa"/>
            <w:noWrap w:val="0"/>
            <w:tcMar>
              <w:top w:w="15" w:type="dxa"/>
              <w:left w:w="15" w:type="dxa"/>
              <w:bottom w:w="15" w:type="dxa"/>
              <w:right w:w="15" w:type="dxa"/>
            </w:tcMar>
            <w:vAlign w:val="center"/>
          </w:tcPr>
          <w:p w14:paraId="57AA8210">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kern w:val="2"/>
                <w:sz w:val="21"/>
                <w:szCs w:val="21"/>
                <w:lang w:val="en-US" w:eastAsia="zh-CN" w:bidi="ar-SA"/>
              </w:rPr>
            </w:pPr>
            <w:r>
              <w:rPr>
                <w:rFonts w:hint="default" w:ascii="Times New Roman" w:hAnsi="Times New Roman" w:eastAsia="宋体" w:cs="Times New Roman"/>
                <w:b w:val="0"/>
                <w:bCs w:val="0"/>
                <w:color w:val="auto"/>
                <w:sz w:val="21"/>
                <w:szCs w:val="21"/>
              </w:rPr>
              <w:t>五通水厂</w:t>
            </w:r>
          </w:p>
        </w:tc>
        <w:tc>
          <w:tcPr>
            <w:tcW w:w="1114" w:type="dxa"/>
            <w:noWrap w:val="0"/>
            <w:tcMar>
              <w:top w:w="15" w:type="dxa"/>
              <w:left w:w="15" w:type="dxa"/>
              <w:bottom w:w="15" w:type="dxa"/>
              <w:right w:w="15" w:type="dxa"/>
            </w:tcMar>
            <w:vAlign w:val="center"/>
          </w:tcPr>
          <w:p w14:paraId="58D6562D">
            <w:pPr>
              <w:keepNext w:val="0"/>
              <w:keepLines w:val="0"/>
              <w:pageBreakBefore w:val="0"/>
              <w:widowControl/>
              <w:kinsoku/>
              <w:wordWrap/>
              <w:overflowPunct/>
              <w:topLinePunct w:val="0"/>
              <w:autoSpaceDE/>
              <w:autoSpaceDN/>
              <w:bidi w:val="0"/>
              <w:adjustRightInd w:val="0"/>
              <w:spacing w:line="240" w:lineRule="auto"/>
              <w:jc w:val="center"/>
              <w:textAlignment w:val="auto"/>
              <w:rPr>
                <w:rFonts w:hint="eastAsia"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取水口上游1000米至下游100米的整个水域。</w:t>
            </w:r>
          </w:p>
        </w:tc>
        <w:tc>
          <w:tcPr>
            <w:tcW w:w="1047" w:type="dxa"/>
            <w:noWrap w:val="0"/>
            <w:tcMar>
              <w:top w:w="15" w:type="dxa"/>
              <w:left w:w="15" w:type="dxa"/>
              <w:bottom w:w="15" w:type="dxa"/>
              <w:right w:w="15" w:type="dxa"/>
            </w:tcMar>
            <w:vAlign w:val="center"/>
          </w:tcPr>
          <w:p w14:paraId="4730B11F">
            <w:pPr>
              <w:keepNext w:val="0"/>
              <w:keepLines w:val="0"/>
              <w:pageBreakBefore w:val="0"/>
              <w:widowControl/>
              <w:kinsoku/>
              <w:wordWrap/>
              <w:overflowPunct/>
              <w:topLinePunct w:val="0"/>
              <w:autoSpaceDE/>
              <w:autoSpaceDN/>
              <w:bidi w:val="0"/>
              <w:adjustRightInd w:val="0"/>
              <w:spacing w:line="240" w:lineRule="auto"/>
              <w:jc w:val="center"/>
              <w:textAlignment w:val="auto"/>
              <w:rPr>
                <w:rFonts w:hint="eastAsia"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30年一遇洪水位控制高程以下陆域，陆域沿岸长度与一级保护区水域长度相同。</w:t>
            </w:r>
          </w:p>
        </w:tc>
        <w:tc>
          <w:tcPr>
            <w:tcW w:w="985" w:type="dxa"/>
            <w:noWrap w:val="0"/>
            <w:tcMar>
              <w:top w:w="15" w:type="dxa"/>
              <w:left w:w="15" w:type="dxa"/>
              <w:bottom w:w="15" w:type="dxa"/>
              <w:right w:w="15" w:type="dxa"/>
            </w:tcMar>
            <w:vAlign w:val="center"/>
          </w:tcPr>
          <w:p w14:paraId="61E0DDAD">
            <w:pPr>
              <w:keepNext w:val="0"/>
              <w:keepLines w:val="0"/>
              <w:pageBreakBefore w:val="0"/>
              <w:widowControl/>
              <w:kinsoku/>
              <w:wordWrap/>
              <w:overflowPunct/>
              <w:topLinePunct w:val="0"/>
              <w:autoSpaceDE/>
              <w:autoSpaceDN/>
              <w:bidi w:val="0"/>
              <w:adjustRightInd w:val="0"/>
              <w:spacing w:line="240" w:lineRule="auto"/>
              <w:jc w:val="center"/>
              <w:textAlignment w:val="auto"/>
              <w:rPr>
                <w:rFonts w:hint="eastAsia"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取水口上游1000—2000米，下游100—200米的整个水域。</w:t>
            </w:r>
          </w:p>
        </w:tc>
        <w:tc>
          <w:tcPr>
            <w:tcW w:w="1165" w:type="dxa"/>
            <w:noWrap w:val="0"/>
            <w:tcMar>
              <w:top w:w="15" w:type="dxa"/>
              <w:left w:w="15" w:type="dxa"/>
              <w:bottom w:w="15" w:type="dxa"/>
              <w:right w:w="15" w:type="dxa"/>
            </w:tcMar>
            <w:vAlign w:val="center"/>
          </w:tcPr>
          <w:p w14:paraId="77CA26B5">
            <w:pPr>
              <w:keepNext w:val="0"/>
              <w:keepLines w:val="0"/>
              <w:pageBreakBefore w:val="0"/>
              <w:widowControl/>
              <w:kinsoku/>
              <w:wordWrap/>
              <w:overflowPunct/>
              <w:topLinePunct w:val="0"/>
              <w:autoSpaceDE/>
              <w:autoSpaceDN/>
              <w:bidi w:val="0"/>
              <w:adjustRightInd w:val="0"/>
              <w:spacing w:line="240" w:lineRule="auto"/>
              <w:jc w:val="center"/>
              <w:textAlignment w:val="auto"/>
              <w:rPr>
                <w:rFonts w:hint="eastAsia"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30年一遇洪水位控制高程以下陆域，陆域沿岸长度与二级保护区水域长度相同。</w:t>
            </w:r>
          </w:p>
        </w:tc>
      </w:tr>
    </w:tbl>
    <w:p w14:paraId="1C600E24">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30" w:name="_Toc20101"/>
      <w:r>
        <w:rPr>
          <w:rFonts w:hint="eastAsia" w:ascii="宋体" w:hAnsi="宋体" w:eastAsia="宋体" w:cs="宋体"/>
          <w:b/>
          <w:bCs/>
          <w:color w:val="000000"/>
          <w:sz w:val="28"/>
          <w:szCs w:val="28"/>
          <w:lang w:val="en-US" w:eastAsia="zh-CN"/>
        </w:rPr>
        <w:t>2.3 饮用水水源地规范化建设现状调查</w:t>
      </w:r>
      <w:bookmarkEnd w:id="30"/>
    </w:p>
    <w:p w14:paraId="44E13C88">
      <w:pPr>
        <w:spacing w:line="520" w:lineRule="exact"/>
        <w:ind w:firstLine="560" w:firstLineChars="200"/>
        <w:rPr>
          <w:rFonts w:ascii="宋体" w:hAnsi="宋体"/>
          <w:sz w:val="28"/>
          <w:szCs w:val="28"/>
        </w:rPr>
      </w:pPr>
      <w:r>
        <w:rPr>
          <w:rFonts w:hint="eastAsia" w:ascii="宋体" w:hAnsi="宋体"/>
          <w:sz w:val="28"/>
          <w:szCs w:val="28"/>
        </w:rPr>
        <w:t>（1）保护区标志、隔离防护设置情况</w:t>
      </w:r>
    </w:p>
    <w:p w14:paraId="50124AA2">
      <w:pPr>
        <w:spacing w:line="520" w:lineRule="exact"/>
        <w:ind w:firstLine="560" w:firstLineChars="200"/>
        <w:rPr>
          <w:rFonts w:ascii="宋体" w:hAnsi="宋体"/>
          <w:sz w:val="28"/>
          <w:szCs w:val="28"/>
        </w:rPr>
      </w:pPr>
      <w:r>
        <w:rPr>
          <w:rFonts w:hint="eastAsia" w:ascii="宋体" w:hAnsi="宋体"/>
          <w:sz w:val="28"/>
          <w:szCs w:val="28"/>
          <w:lang w:val="en-US" w:eastAsia="zh-CN"/>
        </w:rPr>
        <w:t>开州区五通乡老林沟饮用水源地</w:t>
      </w:r>
      <w:r>
        <w:rPr>
          <w:rFonts w:hint="eastAsia" w:ascii="宋体" w:hAnsi="宋体"/>
          <w:sz w:val="28"/>
          <w:szCs w:val="28"/>
        </w:rPr>
        <w:t>已根据《饮用水水源保护区标志技术要求（HJ／T_433-2008）》的要求设置一级、二级保护区边界</w:t>
      </w:r>
      <w:r>
        <w:rPr>
          <w:rFonts w:hint="eastAsia" w:ascii="宋体" w:hAnsi="宋体"/>
          <w:sz w:val="28"/>
          <w:szCs w:val="28"/>
          <w:lang w:val="en-US" w:eastAsia="zh-CN"/>
        </w:rPr>
        <w:t>标志牌</w:t>
      </w:r>
      <w:r>
        <w:rPr>
          <w:rFonts w:hint="eastAsia" w:ascii="宋体" w:hAnsi="宋体"/>
          <w:sz w:val="28"/>
          <w:szCs w:val="28"/>
        </w:rPr>
        <w:t>；</w:t>
      </w:r>
      <w:r>
        <w:rPr>
          <w:rFonts w:hint="eastAsia" w:ascii="宋体" w:hAnsi="宋体"/>
          <w:sz w:val="28"/>
          <w:szCs w:val="28"/>
          <w:lang w:val="en-US" w:eastAsia="zh-CN"/>
        </w:rPr>
        <w:t>隔离防护栏等</w:t>
      </w:r>
      <w:r>
        <w:rPr>
          <w:rFonts w:hint="eastAsia" w:ascii="宋体" w:hAnsi="宋体"/>
          <w:sz w:val="28"/>
          <w:szCs w:val="28"/>
        </w:rPr>
        <w:t>。</w:t>
      </w:r>
    </w:p>
    <w:p w14:paraId="395886D4">
      <w:pPr>
        <w:pStyle w:val="22"/>
        <w:spacing w:line="520" w:lineRule="exact"/>
        <w:ind w:firstLine="0" w:firstLineChars="0"/>
        <w:jc w:val="center"/>
        <w:rPr>
          <w:rFonts w:hint="eastAsia" w:ascii="宋体" w:hAnsi="宋体"/>
          <w:b/>
          <w:bCs/>
          <w:sz w:val="24"/>
        </w:rPr>
      </w:pPr>
    </w:p>
    <w:p w14:paraId="0663EAC0">
      <w:pPr>
        <w:pStyle w:val="22"/>
        <w:spacing w:line="520" w:lineRule="exact"/>
        <w:ind w:firstLine="0" w:firstLineChars="0"/>
        <w:jc w:val="center"/>
        <w:rPr>
          <w:rFonts w:hint="eastAsia" w:ascii="宋体" w:hAnsi="宋体"/>
          <w:b/>
          <w:bCs/>
          <w:sz w:val="24"/>
        </w:rPr>
      </w:pPr>
    </w:p>
    <w:p w14:paraId="293B5817">
      <w:pPr>
        <w:pStyle w:val="22"/>
        <w:spacing w:line="520" w:lineRule="exact"/>
        <w:ind w:firstLine="0" w:firstLineChars="0"/>
        <w:jc w:val="center"/>
        <w:rPr>
          <w:rFonts w:hint="eastAsia" w:ascii="宋体" w:hAnsi="宋体"/>
          <w:b/>
          <w:bCs/>
          <w:sz w:val="24"/>
        </w:rPr>
      </w:pPr>
      <w:r>
        <w:rPr>
          <w:rFonts w:hint="eastAsia" w:ascii="宋体" w:hAnsi="宋体"/>
          <w:b/>
          <w:bCs/>
          <w:sz w:val="24"/>
        </w:rPr>
        <w:t xml:space="preserve">表 </w:t>
      </w:r>
      <w:r>
        <w:rPr>
          <w:rFonts w:hint="eastAsia" w:ascii="宋体" w:hAnsi="宋体"/>
          <w:b/>
          <w:bCs/>
          <w:sz w:val="24"/>
          <w:lang w:val="en-US" w:eastAsia="zh-CN"/>
        </w:rPr>
        <w:t>2.3</w:t>
      </w:r>
      <w:r>
        <w:rPr>
          <w:rFonts w:hint="eastAsia" w:ascii="宋体" w:hAnsi="宋体"/>
          <w:b/>
          <w:bCs/>
          <w:sz w:val="24"/>
        </w:rPr>
        <w:t>-</w:t>
      </w:r>
      <w:r>
        <w:rPr>
          <w:rFonts w:hint="eastAsia" w:ascii="宋体" w:hAnsi="宋体"/>
          <w:b/>
          <w:bCs/>
          <w:sz w:val="24"/>
          <w:lang w:val="en-US" w:eastAsia="zh-CN"/>
        </w:rPr>
        <w:t>1</w:t>
      </w:r>
      <w:r>
        <w:rPr>
          <w:rFonts w:hint="eastAsia" w:ascii="宋体" w:hAnsi="宋体"/>
          <w:b/>
          <w:bCs/>
          <w:sz w:val="24"/>
        </w:rPr>
        <w:t xml:space="preserve"> </w:t>
      </w:r>
      <w:r>
        <w:rPr>
          <w:rFonts w:hint="eastAsia" w:ascii="宋体" w:hAnsi="宋体"/>
          <w:b/>
          <w:bCs/>
          <w:sz w:val="24"/>
          <w:lang w:val="en-US" w:eastAsia="zh-CN"/>
        </w:rPr>
        <w:t>五通乡</w:t>
      </w:r>
      <w:r>
        <w:rPr>
          <w:rFonts w:hint="eastAsia" w:ascii="宋体" w:hAnsi="宋体"/>
          <w:b/>
          <w:bCs/>
          <w:sz w:val="24"/>
        </w:rPr>
        <w:t>水源地</w:t>
      </w:r>
      <w:r>
        <w:rPr>
          <w:rFonts w:hint="eastAsia" w:ascii="宋体" w:hAnsi="宋体"/>
          <w:b/>
          <w:bCs/>
          <w:sz w:val="24"/>
          <w:lang w:val="en-US" w:eastAsia="zh-CN"/>
        </w:rPr>
        <w:t>保护区</w:t>
      </w:r>
      <w:r>
        <w:rPr>
          <w:rFonts w:hint="eastAsia" w:ascii="宋体" w:hAnsi="宋体"/>
          <w:b/>
          <w:bCs/>
          <w:sz w:val="24"/>
        </w:rPr>
        <w:t>标志、隔离防护</w:t>
      </w:r>
      <w:r>
        <w:rPr>
          <w:rFonts w:hint="eastAsia" w:ascii="宋体" w:hAnsi="宋体"/>
          <w:b/>
          <w:bCs/>
          <w:sz w:val="24"/>
          <w:lang w:val="en-US" w:eastAsia="zh-CN"/>
        </w:rPr>
        <w:t>措施</w:t>
      </w:r>
      <w:r>
        <w:rPr>
          <w:rFonts w:hint="eastAsia" w:ascii="宋体" w:hAnsi="宋体"/>
          <w:b/>
          <w:bCs/>
          <w:sz w:val="24"/>
        </w:rPr>
        <w:t xml:space="preserve"> </w:t>
      </w:r>
    </w:p>
    <w:tbl>
      <w:tblPr>
        <w:tblStyle w:val="16"/>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4"/>
        <w:gridCol w:w="1554"/>
        <w:gridCol w:w="5846"/>
      </w:tblGrid>
      <w:tr w14:paraId="6E534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blHeader/>
          <w:jc w:val="center"/>
        </w:trPr>
        <w:tc>
          <w:tcPr>
            <w:tcW w:w="2658" w:type="dxa"/>
            <w:gridSpan w:val="2"/>
            <w:noWrap w:val="0"/>
            <w:vAlign w:val="center"/>
          </w:tcPr>
          <w:p w14:paraId="5B095485">
            <w:pPr>
              <w:pStyle w:val="22"/>
              <w:spacing w:line="300" w:lineRule="exact"/>
              <w:ind w:firstLine="0" w:firstLineChars="0"/>
              <w:jc w:val="center"/>
              <w:rPr>
                <w:rFonts w:hint="eastAsia" w:ascii="宋体" w:hAnsi="宋体"/>
                <w:b/>
                <w:bCs/>
                <w:lang w:val="en-US" w:eastAsia="zh-CN"/>
              </w:rPr>
            </w:pPr>
            <w:r>
              <w:rPr>
                <w:rFonts w:hint="eastAsia" w:ascii="宋体" w:hAnsi="宋体"/>
                <w:b/>
                <w:bCs/>
                <w:lang w:val="en-US" w:eastAsia="zh-CN"/>
              </w:rPr>
              <w:t>水源地</w:t>
            </w:r>
          </w:p>
        </w:tc>
        <w:tc>
          <w:tcPr>
            <w:tcW w:w="5846" w:type="dxa"/>
            <w:noWrap w:val="0"/>
            <w:vAlign w:val="center"/>
          </w:tcPr>
          <w:p w14:paraId="27EFF718">
            <w:pPr>
              <w:pStyle w:val="22"/>
              <w:spacing w:line="300" w:lineRule="exact"/>
              <w:ind w:firstLine="0" w:firstLineChars="0"/>
              <w:jc w:val="center"/>
              <w:rPr>
                <w:rFonts w:hint="default" w:ascii="宋体" w:hAnsi="宋体"/>
                <w:b/>
                <w:bCs/>
                <w:lang w:val="en-US"/>
              </w:rPr>
            </w:pPr>
            <w:r>
              <w:rPr>
                <w:rFonts w:hint="eastAsia" w:ascii="宋体" w:hAnsi="宋体"/>
                <w:b/>
                <w:bCs/>
                <w:sz w:val="21"/>
                <w:szCs w:val="21"/>
                <w:lang w:val="en-US" w:eastAsia="zh-CN"/>
              </w:rPr>
              <w:t>保护区</w:t>
            </w:r>
            <w:r>
              <w:rPr>
                <w:rFonts w:hint="eastAsia" w:ascii="宋体" w:hAnsi="宋体"/>
                <w:b/>
                <w:bCs/>
                <w:sz w:val="21"/>
                <w:szCs w:val="21"/>
              </w:rPr>
              <w:t>标志、隔离防护</w:t>
            </w:r>
            <w:r>
              <w:rPr>
                <w:rFonts w:hint="eastAsia" w:ascii="宋体" w:hAnsi="宋体"/>
                <w:b/>
                <w:bCs/>
                <w:sz w:val="21"/>
                <w:szCs w:val="21"/>
                <w:lang w:val="en-US" w:eastAsia="zh-CN"/>
              </w:rPr>
              <w:t>措施照片</w:t>
            </w:r>
          </w:p>
        </w:tc>
      </w:tr>
      <w:tr w14:paraId="0C3F7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0" w:hRule="atLeast"/>
          <w:tblHeader/>
          <w:jc w:val="center"/>
        </w:trPr>
        <w:tc>
          <w:tcPr>
            <w:tcW w:w="1104" w:type="dxa"/>
            <w:noWrap w:val="0"/>
            <w:vAlign w:val="center"/>
          </w:tcPr>
          <w:p w14:paraId="73152A24">
            <w:pPr>
              <w:pStyle w:val="22"/>
              <w:spacing w:line="300" w:lineRule="exact"/>
              <w:ind w:firstLine="0" w:firstLineChars="0"/>
              <w:jc w:val="center"/>
              <w:rPr>
                <w:rFonts w:hint="default" w:ascii="宋体" w:hAnsi="宋体"/>
                <w:b/>
                <w:bCs/>
                <w:lang w:val="en-US" w:eastAsia="zh-CN"/>
              </w:rPr>
            </w:pPr>
            <w:r>
              <w:rPr>
                <w:rFonts w:hint="eastAsia" w:ascii="宋体" w:hAnsi="宋体"/>
                <w:sz w:val="21"/>
                <w:szCs w:val="21"/>
                <w:lang w:val="en-US" w:eastAsia="zh-CN"/>
              </w:rPr>
              <w:t>开州区五通乡老林沟饮用水源地</w:t>
            </w:r>
          </w:p>
        </w:tc>
        <w:tc>
          <w:tcPr>
            <w:tcW w:w="1554" w:type="dxa"/>
            <w:noWrap w:val="0"/>
            <w:vAlign w:val="center"/>
          </w:tcPr>
          <w:p w14:paraId="4B9C2F85">
            <w:pPr>
              <w:pStyle w:val="22"/>
              <w:spacing w:line="300" w:lineRule="exact"/>
              <w:ind w:firstLine="0" w:firstLineChars="0"/>
              <w:jc w:val="center"/>
              <w:rPr>
                <w:rFonts w:hint="default" w:ascii="宋体" w:hAnsi="宋体"/>
                <w:sz w:val="21"/>
                <w:szCs w:val="21"/>
                <w:lang w:val="en-US" w:eastAsia="zh-CN"/>
              </w:rPr>
            </w:pPr>
            <w:r>
              <w:rPr>
                <w:rFonts w:hint="eastAsia" w:ascii="宋体" w:hAnsi="宋体"/>
                <w:sz w:val="21"/>
                <w:szCs w:val="21"/>
                <w:lang w:val="en-US" w:eastAsia="zh-CN"/>
              </w:rPr>
              <w:t>一级保护区标识</w:t>
            </w:r>
          </w:p>
        </w:tc>
        <w:tc>
          <w:tcPr>
            <w:tcW w:w="5846" w:type="dxa"/>
            <w:noWrap w:val="0"/>
            <w:vAlign w:val="center"/>
          </w:tcPr>
          <w:p w14:paraId="2FFDA740">
            <w:pPr>
              <w:pStyle w:val="22"/>
              <w:spacing w:line="300" w:lineRule="exact"/>
              <w:ind w:firstLine="0" w:firstLineChars="0"/>
              <w:jc w:val="center"/>
              <w:rPr>
                <w:rFonts w:hint="eastAsia" w:ascii="宋体" w:hAnsi="宋体" w:eastAsia="宋体"/>
                <w:b/>
                <w:bCs/>
                <w:lang w:eastAsia="zh-CN"/>
              </w:rPr>
            </w:pPr>
            <w:r>
              <w:rPr>
                <w:rFonts w:hint="eastAsia" w:ascii="宋体" w:hAnsi="宋体" w:eastAsia="宋体"/>
                <w:b/>
                <w:bCs/>
                <w:lang w:eastAsia="zh-CN"/>
              </w:rPr>
              <w:drawing>
                <wp:anchor distT="0" distB="0" distL="114300" distR="114300" simplePos="0" relativeHeight="251660288" behindDoc="0" locked="0" layoutInCell="1" allowOverlap="1">
                  <wp:simplePos x="0" y="0"/>
                  <wp:positionH relativeFrom="column">
                    <wp:posOffset>-28575</wp:posOffset>
                  </wp:positionH>
                  <wp:positionV relativeFrom="paragraph">
                    <wp:posOffset>88900</wp:posOffset>
                  </wp:positionV>
                  <wp:extent cx="3472180" cy="2604135"/>
                  <wp:effectExtent l="0" t="0" r="13970" b="5715"/>
                  <wp:wrapTopAndBottom/>
                  <wp:docPr id="9" name="图片 9" descr="IMG_20251010_115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0251010_115329"/>
                          <pic:cNvPicPr>
                            <a:picLocks noChangeAspect="1"/>
                          </pic:cNvPicPr>
                        </pic:nvPicPr>
                        <pic:blipFill>
                          <a:blip r:embed="rId11"/>
                          <a:stretch>
                            <a:fillRect/>
                          </a:stretch>
                        </pic:blipFill>
                        <pic:spPr>
                          <a:xfrm>
                            <a:off x="0" y="0"/>
                            <a:ext cx="3472180" cy="2604135"/>
                          </a:xfrm>
                          <a:prstGeom prst="rect">
                            <a:avLst/>
                          </a:prstGeom>
                        </pic:spPr>
                      </pic:pic>
                    </a:graphicData>
                  </a:graphic>
                </wp:anchor>
              </w:drawing>
            </w:r>
          </w:p>
        </w:tc>
      </w:tr>
      <w:tr w14:paraId="63438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6" w:hRule="atLeast"/>
          <w:tblHeader/>
          <w:jc w:val="center"/>
        </w:trPr>
        <w:tc>
          <w:tcPr>
            <w:tcW w:w="1104" w:type="dxa"/>
            <w:vMerge w:val="restart"/>
            <w:noWrap w:val="0"/>
            <w:vAlign w:val="center"/>
          </w:tcPr>
          <w:p w14:paraId="2C727A3B">
            <w:pPr>
              <w:pStyle w:val="22"/>
              <w:spacing w:line="300" w:lineRule="exact"/>
              <w:ind w:firstLine="0" w:firstLineChars="0"/>
              <w:jc w:val="center"/>
              <w:rPr>
                <w:rFonts w:hint="default" w:ascii="宋体" w:hAnsi="宋体"/>
                <w:sz w:val="28"/>
                <w:szCs w:val="28"/>
                <w:lang w:val="en-US" w:eastAsia="zh-CN"/>
              </w:rPr>
            </w:pPr>
            <w:r>
              <w:rPr>
                <w:rFonts w:hint="eastAsia" w:ascii="宋体" w:hAnsi="宋体"/>
                <w:sz w:val="21"/>
                <w:szCs w:val="21"/>
                <w:lang w:val="en-US" w:eastAsia="zh-CN"/>
              </w:rPr>
              <w:t>开州区五通乡老林沟饮用水源地</w:t>
            </w:r>
          </w:p>
        </w:tc>
        <w:tc>
          <w:tcPr>
            <w:tcW w:w="1554" w:type="dxa"/>
            <w:noWrap w:val="0"/>
            <w:vAlign w:val="center"/>
          </w:tcPr>
          <w:p w14:paraId="06799394">
            <w:pPr>
              <w:pStyle w:val="22"/>
              <w:spacing w:line="300" w:lineRule="exact"/>
              <w:ind w:firstLine="0" w:firstLineChars="0"/>
              <w:jc w:val="center"/>
              <w:rPr>
                <w:rFonts w:hint="eastAsia" w:ascii="宋体" w:hAnsi="宋体"/>
                <w:sz w:val="21"/>
                <w:szCs w:val="21"/>
                <w:lang w:val="en-US" w:eastAsia="zh-CN"/>
              </w:rPr>
            </w:pPr>
            <w:r>
              <w:rPr>
                <w:rFonts w:hint="eastAsia" w:ascii="宋体" w:hAnsi="宋体"/>
                <w:sz w:val="21"/>
                <w:szCs w:val="21"/>
                <w:lang w:val="en-US" w:eastAsia="zh-CN"/>
              </w:rPr>
              <w:t>一级保护区标识</w:t>
            </w:r>
          </w:p>
        </w:tc>
        <w:tc>
          <w:tcPr>
            <w:tcW w:w="5846" w:type="dxa"/>
            <w:noWrap w:val="0"/>
            <w:vAlign w:val="center"/>
          </w:tcPr>
          <w:p w14:paraId="492DCB4C">
            <w:pPr>
              <w:pStyle w:val="22"/>
              <w:spacing w:line="300" w:lineRule="exact"/>
              <w:ind w:firstLine="0" w:firstLineChars="0"/>
              <w:jc w:val="both"/>
              <w:rPr>
                <w:rFonts w:hint="eastAsia"/>
                <w:lang w:val="en-US" w:eastAsia="zh-CN"/>
              </w:rPr>
            </w:pPr>
            <w:r>
              <w:rPr>
                <w:rFonts w:hint="eastAsia"/>
                <w:lang w:val="en-US" w:eastAsia="zh-CN"/>
              </w:rPr>
              <w:drawing>
                <wp:anchor distT="0" distB="0" distL="114300" distR="114300" simplePos="0" relativeHeight="251664384" behindDoc="0" locked="0" layoutInCell="1" allowOverlap="1">
                  <wp:simplePos x="0" y="0"/>
                  <wp:positionH relativeFrom="column">
                    <wp:posOffset>441960</wp:posOffset>
                  </wp:positionH>
                  <wp:positionV relativeFrom="paragraph">
                    <wp:posOffset>-187325</wp:posOffset>
                  </wp:positionV>
                  <wp:extent cx="2475865" cy="2967990"/>
                  <wp:effectExtent l="0" t="0" r="635" b="3810"/>
                  <wp:wrapTopAndBottom/>
                  <wp:docPr id="14" name="图片 14" descr="IMG_20251010_115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MG_20251010_115339"/>
                          <pic:cNvPicPr>
                            <a:picLocks noChangeAspect="1"/>
                          </pic:cNvPicPr>
                        </pic:nvPicPr>
                        <pic:blipFill>
                          <a:blip r:embed="rId12"/>
                          <a:stretch>
                            <a:fillRect/>
                          </a:stretch>
                        </pic:blipFill>
                        <pic:spPr>
                          <a:xfrm>
                            <a:off x="0" y="0"/>
                            <a:ext cx="2475865" cy="2967990"/>
                          </a:xfrm>
                          <a:prstGeom prst="rect">
                            <a:avLst/>
                          </a:prstGeom>
                        </pic:spPr>
                      </pic:pic>
                    </a:graphicData>
                  </a:graphic>
                </wp:anchor>
              </w:drawing>
            </w:r>
          </w:p>
        </w:tc>
      </w:tr>
      <w:tr w14:paraId="14069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6" w:hRule="atLeast"/>
          <w:tblHeader/>
          <w:jc w:val="center"/>
        </w:trPr>
        <w:tc>
          <w:tcPr>
            <w:tcW w:w="1104" w:type="dxa"/>
            <w:vMerge w:val="continue"/>
            <w:noWrap w:val="0"/>
            <w:vAlign w:val="center"/>
          </w:tcPr>
          <w:p w14:paraId="377F8873">
            <w:pPr>
              <w:pStyle w:val="22"/>
              <w:spacing w:line="300" w:lineRule="exact"/>
              <w:ind w:firstLine="0" w:firstLineChars="0"/>
              <w:jc w:val="center"/>
              <w:rPr>
                <w:rFonts w:hint="default" w:ascii="宋体" w:hAnsi="宋体"/>
                <w:sz w:val="28"/>
                <w:szCs w:val="28"/>
                <w:lang w:val="en-US" w:eastAsia="zh-CN"/>
              </w:rPr>
            </w:pPr>
          </w:p>
        </w:tc>
        <w:tc>
          <w:tcPr>
            <w:tcW w:w="1554" w:type="dxa"/>
            <w:noWrap w:val="0"/>
            <w:vAlign w:val="center"/>
          </w:tcPr>
          <w:p w14:paraId="792D5ED8">
            <w:pPr>
              <w:pStyle w:val="22"/>
              <w:spacing w:line="300" w:lineRule="exact"/>
              <w:ind w:firstLine="0" w:firstLineChars="0"/>
              <w:jc w:val="center"/>
              <w:rPr>
                <w:rFonts w:hint="default" w:ascii="宋体" w:hAnsi="宋体"/>
                <w:sz w:val="21"/>
                <w:szCs w:val="21"/>
                <w:lang w:val="en-US" w:eastAsia="zh-CN"/>
              </w:rPr>
            </w:pPr>
            <w:r>
              <w:rPr>
                <w:rFonts w:hint="eastAsia" w:ascii="宋体" w:hAnsi="宋体"/>
                <w:sz w:val="21"/>
                <w:szCs w:val="21"/>
                <w:lang w:val="en-US" w:eastAsia="zh-CN"/>
              </w:rPr>
              <w:t>取水口标识</w:t>
            </w:r>
          </w:p>
        </w:tc>
        <w:tc>
          <w:tcPr>
            <w:tcW w:w="5846" w:type="dxa"/>
            <w:noWrap w:val="0"/>
            <w:vAlign w:val="center"/>
          </w:tcPr>
          <w:p w14:paraId="062D9D9E">
            <w:pPr>
              <w:pStyle w:val="22"/>
              <w:spacing w:line="300" w:lineRule="exact"/>
              <w:ind w:firstLine="0" w:firstLineChars="0"/>
              <w:jc w:val="center"/>
              <w:rPr>
                <w:rFonts w:hint="eastAsia"/>
                <w:lang w:val="en-US" w:eastAsia="zh-CN"/>
              </w:rPr>
            </w:pPr>
            <w:r>
              <w:rPr>
                <w:rFonts w:hint="eastAsia"/>
                <w:lang w:val="en-US" w:eastAsia="zh-CN"/>
              </w:rPr>
              <w:drawing>
                <wp:anchor distT="0" distB="0" distL="114300" distR="114300" simplePos="0" relativeHeight="251661312" behindDoc="0" locked="0" layoutInCell="1" allowOverlap="1">
                  <wp:simplePos x="0" y="0"/>
                  <wp:positionH relativeFrom="column">
                    <wp:posOffset>146685</wp:posOffset>
                  </wp:positionH>
                  <wp:positionV relativeFrom="paragraph">
                    <wp:posOffset>69850</wp:posOffset>
                  </wp:positionV>
                  <wp:extent cx="3145155" cy="2360295"/>
                  <wp:effectExtent l="0" t="0" r="17145" b="1905"/>
                  <wp:wrapTopAndBottom/>
                  <wp:docPr id="10" name="图片 10" descr="IMG_20251010_115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20251010_115428"/>
                          <pic:cNvPicPr>
                            <a:picLocks noChangeAspect="1"/>
                          </pic:cNvPicPr>
                        </pic:nvPicPr>
                        <pic:blipFill>
                          <a:blip r:embed="rId13"/>
                          <a:stretch>
                            <a:fillRect/>
                          </a:stretch>
                        </pic:blipFill>
                        <pic:spPr>
                          <a:xfrm>
                            <a:off x="0" y="0"/>
                            <a:ext cx="3145155" cy="2360295"/>
                          </a:xfrm>
                          <a:prstGeom prst="rect">
                            <a:avLst/>
                          </a:prstGeom>
                        </pic:spPr>
                      </pic:pic>
                    </a:graphicData>
                  </a:graphic>
                </wp:anchor>
              </w:drawing>
            </w:r>
          </w:p>
        </w:tc>
      </w:tr>
      <w:tr w14:paraId="63D23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8" w:hRule="atLeast"/>
          <w:tblHeader/>
          <w:jc w:val="center"/>
        </w:trPr>
        <w:tc>
          <w:tcPr>
            <w:tcW w:w="1104" w:type="dxa"/>
            <w:vMerge w:val="continue"/>
            <w:noWrap w:val="0"/>
            <w:vAlign w:val="center"/>
          </w:tcPr>
          <w:p w14:paraId="73820172">
            <w:pPr>
              <w:pStyle w:val="22"/>
              <w:spacing w:line="300" w:lineRule="exact"/>
              <w:ind w:firstLine="0" w:firstLineChars="0"/>
              <w:jc w:val="center"/>
              <w:rPr>
                <w:rFonts w:hint="eastAsia" w:ascii="宋体" w:hAnsi="宋体"/>
                <w:sz w:val="28"/>
                <w:szCs w:val="28"/>
                <w:lang w:val="en-US" w:eastAsia="zh-CN"/>
              </w:rPr>
            </w:pPr>
          </w:p>
        </w:tc>
        <w:tc>
          <w:tcPr>
            <w:tcW w:w="1554" w:type="dxa"/>
            <w:noWrap w:val="0"/>
            <w:vAlign w:val="center"/>
          </w:tcPr>
          <w:p w14:paraId="1B262FB6">
            <w:pPr>
              <w:pStyle w:val="22"/>
              <w:spacing w:line="300" w:lineRule="exact"/>
              <w:ind w:firstLine="0" w:firstLineChars="0"/>
              <w:jc w:val="center"/>
              <w:rPr>
                <w:rFonts w:hint="default" w:ascii="宋体" w:hAnsi="宋体"/>
                <w:sz w:val="21"/>
                <w:szCs w:val="21"/>
                <w:lang w:val="en-US" w:eastAsia="zh-CN"/>
              </w:rPr>
            </w:pPr>
            <w:r>
              <w:rPr>
                <w:rFonts w:hint="eastAsia" w:ascii="宋体" w:hAnsi="宋体"/>
                <w:sz w:val="21"/>
                <w:szCs w:val="21"/>
                <w:lang w:val="en-US" w:eastAsia="zh-CN"/>
              </w:rPr>
              <w:t>取水口位置</w:t>
            </w:r>
          </w:p>
        </w:tc>
        <w:tc>
          <w:tcPr>
            <w:tcW w:w="5846" w:type="dxa"/>
            <w:noWrap w:val="0"/>
            <w:vAlign w:val="center"/>
          </w:tcPr>
          <w:p w14:paraId="36168225">
            <w:pPr>
              <w:pStyle w:val="22"/>
              <w:spacing w:line="300" w:lineRule="exact"/>
              <w:ind w:firstLine="0" w:firstLineChars="0"/>
              <w:jc w:val="center"/>
              <w:rPr>
                <w:rFonts w:hint="eastAsia"/>
                <w:lang w:val="en-US" w:eastAsia="zh-CN"/>
              </w:rPr>
            </w:pPr>
            <w:r>
              <w:rPr>
                <w:rFonts w:hint="eastAsia"/>
                <w:lang w:val="en-US" w:eastAsia="zh-CN"/>
              </w:rPr>
              <w:drawing>
                <wp:anchor distT="0" distB="0" distL="114300" distR="114300" simplePos="0" relativeHeight="251662336" behindDoc="0" locked="0" layoutInCell="1" allowOverlap="1">
                  <wp:simplePos x="0" y="0"/>
                  <wp:positionH relativeFrom="column">
                    <wp:posOffset>0</wp:posOffset>
                  </wp:positionH>
                  <wp:positionV relativeFrom="paragraph">
                    <wp:posOffset>60325</wp:posOffset>
                  </wp:positionV>
                  <wp:extent cx="3472180" cy="2604135"/>
                  <wp:effectExtent l="0" t="0" r="13970" b="5715"/>
                  <wp:wrapTopAndBottom/>
                  <wp:docPr id="11" name="图片 11" descr="IMG_20251010_115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20251010_115407"/>
                          <pic:cNvPicPr>
                            <a:picLocks noChangeAspect="1"/>
                          </pic:cNvPicPr>
                        </pic:nvPicPr>
                        <pic:blipFill>
                          <a:blip r:embed="rId14"/>
                          <a:stretch>
                            <a:fillRect/>
                          </a:stretch>
                        </pic:blipFill>
                        <pic:spPr>
                          <a:xfrm>
                            <a:off x="0" y="0"/>
                            <a:ext cx="3472180" cy="2604135"/>
                          </a:xfrm>
                          <a:prstGeom prst="rect">
                            <a:avLst/>
                          </a:prstGeom>
                        </pic:spPr>
                      </pic:pic>
                    </a:graphicData>
                  </a:graphic>
                </wp:anchor>
              </w:drawing>
            </w:r>
          </w:p>
        </w:tc>
      </w:tr>
      <w:tr w14:paraId="52E3A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6" w:hRule="atLeast"/>
          <w:tblHeader/>
          <w:jc w:val="center"/>
        </w:trPr>
        <w:tc>
          <w:tcPr>
            <w:tcW w:w="1104" w:type="dxa"/>
            <w:vMerge w:val="restart"/>
            <w:noWrap w:val="0"/>
            <w:vAlign w:val="center"/>
          </w:tcPr>
          <w:p w14:paraId="48D92EB8">
            <w:pPr>
              <w:pStyle w:val="22"/>
              <w:spacing w:line="300" w:lineRule="exact"/>
              <w:ind w:firstLine="0" w:firstLineChars="0"/>
              <w:jc w:val="center"/>
              <w:rPr>
                <w:rFonts w:hint="eastAsia" w:ascii="宋体" w:hAnsi="宋体"/>
                <w:sz w:val="21"/>
                <w:szCs w:val="21"/>
                <w:lang w:val="en-US" w:eastAsia="zh-CN"/>
              </w:rPr>
            </w:pPr>
            <w:r>
              <w:rPr>
                <w:rFonts w:hint="eastAsia" w:ascii="宋体" w:hAnsi="宋体"/>
                <w:sz w:val="21"/>
                <w:szCs w:val="21"/>
                <w:lang w:val="en-US" w:eastAsia="zh-CN"/>
              </w:rPr>
              <w:t>开州区五通乡老林沟饮用水源地</w:t>
            </w:r>
          </w:p>
        </w:tc>
        <w:tc>
          <w:tcPr>
            <w:tcW w:w="1554" w:type="dxa"/>
            <w:noWrap w:val="0"/>
            <w:vAlign w:val="center"/>
          </w:tcPr>
          <w:p w14:paraId="2CA09158">
            <w:pPr>
              <w:pStyle w:val="22"/>
              <w:spacing w:line="300" w:lineRule="exact"/>
              <w:ind w:firstLine="0" w:firstLineChars="0"/>
              <w:jc w:val="center"/>
              <w:rPr>
                <w:rFonts w:hint="default" w:ascii="宋体" w:hAnsi="宋体"/>
                <w:sz w:val="28"/>
                <w:szCs w:val="28"/>
                <w:lang w:val="en-US" w:eastAsia="zh-CN"/>
              </w:rPr>
            </w:pPr>
            <w:r>
              <w:rPr>
                <w:rFonts w:hint="eastAsia" w:ascii="宋体" w:hAnsi="宋体"/>
                <w:sz w:val="21"/>
                <w:szCs w:val="21"/>
                <w:lang w:val="en-US" w:eastAsia="zh-CN"/>
              </w:rPr>
              <w:t>二级保护区标识</w:t>
            </w:r>
          </w:p>
        </w:tc>
        <w:tc>
          <w:tcPr>
            <w:tcW w:w="5846" w:type="dxa"/>
            <w:noWrap w:val="0"/>
            <w:vAlign w:val="center"/>
          </w:tcPr>
          <w:p w14:paraId="671E958D">
            <w:pPr>
              <w:pStyle w:val="22"/>
              <w:spacing w:line="300" w:lineRule="exact"/>
              <w:ind w:firstLine="0" w:firstLineChars="0"/>
              <w:jc w:val="both"/>
              <w:rPr>
                <w:rFonts w:hint="eastAsia"/>
                <w:lang w:val="en-US" w:eastAsia="zh-CN"/>
              </w:rPr>
            </w:pPr>
            <w:r>
              <w:rPr>
                <w:rFonts w:hint="eastAsia"/>
                <w:lang w:val="en-US" w:eastAsia="zh-CN"/>
              </w:rPr>
              <w:drawing>
                <wp:anchor distT="0" distB="0" distL="114300" distR="114300" simplePos="0" relativeHeight="251663360" behindDoc="0" locked="0" layoutInCell="1" allowOverlap="1">
                  <wp:simplePos x="0" y="0"/>
                  <wp:positionH relativeFrom="column">
                    <wp:posOffset>74295</wp:posOffset>
                  </wp:positionH>
                  <wp:positionV relativeFrom="paragraph">
                    <wp:posOffset>69850</wp:posOffset>
                  </wp:positionV>
                  <wp:extent cx="3394710" cy="2548890"/>
                  <wp:effectExtent l="0" t="0" r="15240" b="3810"/>
                  <wp:wrapTopAndBottom/>
                  <wp:docPr id="12" name="图片 12" descr="IMG_20251010_12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G_20251010_120009"/>
                          <pic:cNvPicPr>
                            <a:picLocks noChangeAspect="1"/>
                          </pic:cNvPicPr>
                        </pic:nvPicPr>
                        <pic:blipFill>
                          <a:blip r:embed="rId15"/>
                          <a:stretch>
                            <a:fillRect/>
                          </a:stretch>
                        </pic:blipFill>
                        <pic:spPr>
                          <a:xfrm>
                            <a:off x="0" y="0"/>
                            <a:ext cx="3394710" cy="2548890"/>
                          </a:xfrm>
                          <a:prstGeom prst="rect">
                            <a:avLst/>
                          </a:prstGeom>
                        </pic:spPr>
                      </pic:pic>
                    </a:graphicData>
                  </a:graphic>
                </wp:anchor>
              </w:drawing>
            </w:r>
          </w:p>
        </w:tc>
      </w:tr>
      <w:tr w14:paraId="02110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8" w:hRule="atLeast"/>
          <w:tblHeader/>
          <w:jc w:val="center"/>
        </w:trPr>
        <w:tc>
          <w:tcPr>
            <w:tcW w:w="1104" w:type="dxa"/>
            <w:vMerge w:val="continue"/>
            <w:noWrap w:val="0"/>
            <w:vAlign w:val="center"/>
          </w:tcPr>
          <w:p w14:paraId="64FFE748">
            <w:pPr>
              <w:pStyle w:val="22"/>
              <w:spacing w:line="300" w:lineRule="exact"/>
              <w:ind w:firstLine="0" w:firstLineChars="0"/>
              <w:jc w:val="center"/>
              <w:rPr>
                <w:rFonts w:hint="eastAsia" w:ascii="宋体" w:hAnsi="宋体"/>
                <w:sz w:val="21"/>
                <w:szCs w:val="21"/>
                <w:lang w:val="en-US" w:eastAsia="zh-CN"/>
              </w:rPr>
            </w:pPr>
          </w:p>
        </w:tc>
        <w:tc>
          <w:tcPr>
            <w:tcW w:w="1554" w:type="dxa"/>
            <w:noWrap w:val="0"/>
            <w:vAlign w:val="center"/>
          </w:tcPr>
          <w:p w14:paraId="70FEA62E">
            <w:pPr>
              <w:pStyle w:val="22"/>
              <w:spacing w:line="300" w:lineRule="exact"/>
              <w:ind w:firstLine="0" w:firstLineChars="0"/>
              <w:jc w:val="center"/>
              <w:rPr>
                <w:rFonts w:hint="eastAsia" w:ascii="宋体" w:hAnsi="宋体"/>
                <w:sz w:val="21"/>
                <w:szCs w:val="21"/>
                <w:lang w:val="en-US" w:eastAsia="zh-CN"/>
              </w:rPr>
            </w:pPr>
            <w:r>
              <w:rPr>
                <w:rFonts w:hint="eastAsia" w:ascii="宋体" w:hAnsi="宋体"/>
                <w:sz w:val="21"/>
                <w:szCs w:val="21"/>
                <w:lang w:val="en-US" w:eastAsia="zh-CN"/>
              </w:rPr>
              <w:t>二级保护区标识</w:t>
            </w:r>
          </w:p>
        </w:tc>
        <w:tc>
          <w:tcPr>
            <w:tcW w:w="5846" w:type="dxa"/>
            <w:noWrap w:val="0"/>
            <w:vAlign w:val="center"/>
          </w:tcPr>
          <w:p w14:paraId="71742E27">
            <w:pPr>
              <w:pStyle w:val="22"/>
              <w:spacing w:line="300" w:lineRule="exact"/>
              <w:ind w:firstLine="0" w:firstLineChars="0"/>
              <w:jc w:val="center"/>
              <w:rPr>
                <w:rFonts w:hint="eastAsia"/>
                <w:lang w:val="en-US" w:eastAsia="zh-CN"/>
              </w:rPr>
            </w:pPr>
            <w:r>
              <w:rPr>
                <w:rFonts w:hint="eastAsia"/>
                <w:lang w:val="en-US" w:eastAsia="zh-CN"/>
              </w:rPr>
              <w:drawing>
                <wp:anchor distT="0" distB="0" distL="114300" distR="114300" simplePos="0" relativeHeight="251665408" behindDoc="0" locked="0" layoutInCell="1" allowOverlap="1">
                  <wp:simplePos x="0" y="0"/>
                  <wp:positionH relativeFrom="column">
                    <wp:posOffset>641985</wp:posOffset>
                  </wp:positionH>
                  <wp:positionV relativeFrom="paragraph">
                    <wp:posOffset>79375</wp:posOffset>
                  </wp:positionV>
                  <wp:extent cx="1957705" cy="2610485"/>
                  <wp:effectExtent l="0" t="0" r="4445" b="18415"/>
                  <wp:wrapTopAndBottom/>
                  <wp:docPr id="15" name="图片 15" descr="IMG_20251010_120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IMG_20251010_120152"/>
                          <pic:cNvPicPr>
                            <a:picLocks noChangeAspect="1"/>
                          </pic:cNvPicPr>
                        </pic:nvPicPr>
                        <pic:blipFill>
                          <a:blip r:embed="rId16"/>
                          <a:stretch>
                            <a:fillRect/>
                          </a:stretch>
                        </pic:blipFill>
                        <pic:spPr>
                          <a:xfrm>
                            <a:off x="0" y="0"/>
                            <a:ext cx="1957705" cy="2610485"/>
                          </a:xfrm>
                          <a:prstGeom prst="rect">
                            <a:avLst/>
                          </a:prstGeom>
                        </pic:spPr>
                      </pic:pic>
                    </a:graphicData>
                  </a:graphic>
                </wp:anchor>
              </w:drawing>
            </w:r>
          </w:p>
        </w:tc>
      </w:tr>
      <w:tr w14:paraId="78DD1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8" w:hRule="atLeast"/>
          <w:tblHeader/>
          <w:jc w:val="center"/>
        </w:trPr>
        <w:tc>
          <w:tcPr>
            <w:tcW w:w="1104" w:type="dxa"/>
            <w:vMerge w:val="continue"/>
            <w:noWrap w:val="0"/>
            <w:vAlign w:val="center"/>
          </w:tcPr>
          <w:p w14:paraId="5608BC7F">
            <w:pPr>
              <w:pStyle w:val="22"/>
              <w:spacing w:line="300" w:lineRule="exact"/>
              <w:ind w:firstLine="0" w:firstLineChars="0"/>
              <w:jc w:val="center"/>
              <w:rPr>
                <w:rFonts w:hint="eastAsia" w:ascii="宋体" w:hAnsi="宋体"/>
                <w:sz w:val="21"/>
                <w:szCs w:val="21"/>
                <w:lang w:val="en-US" w:eastAsia="zh-CN"/>
              </w:rPr>
            </w:pPr>
          </w:p>
        </w:tc>
        <w:tc>
          <w:tcPr>
            <w:tcW w:w="1554" w:type="dxa"/>
            <w:noWrap w:val="0"/>
            <w:vAlign w:val="center"/>
          </w:tcPr>
          <w:p w14:paraId="346CC0AA">
            <w:pPr>
              <w:pStyle w:val="22"/>
              <w:spacing w:line="300" w:lineRule="exact"/>
              <w:ind w:firstLine="0" w:firstLineChars="0"/>
              <w:jc w:val="center"/>
              <w:rPr>
                <w:rFonts w:hint="default" w:ascii="宋体" w:hAnsi="宋体"/>
                <w:sz w:val="21"/>
                <w:szCs w:val="21"/>
                <w:lang w:val="en-US" w:eastAsia="zh-CN"/>
              </w:rPr>
            </w:pPr>
            <w:r>
              <w:rPr>
                <w:rFonts w:hint="eastAsia" w:ascii="宋体" w:hAnsi="宋体"/>
                <w:sz w:val="21"/>
                <w:szCs w:val="21"/>
                <w:lang w:val="en-US" w:eastAsia="zh-CN"/>
              </w:rPr>
              <w:t>隔离防护网</w:t>
            </w:r>
          </w:p>
        </w:tc>
        <w:tc>
          <w:tcPr>
            <w:tcW w:w="5846" w:type="dxa"/>
            <w:noWrap w:val="0"/>
            <w:vAlign w:val="center"/>
          </w:tcPr>
          <w:p w14:paraId="30F8BFF8">
            <w:pPr>
              <w:pStyle w:val="22"/>
              <w:spacing w:line="300" w:lineRule="exact"/>
              <w:ind w:firstLine="0" w:firstLineChars="0"/>
              <w:jc w:val="center"/>
              <w:rPr>
                <w:rFonts w:hint="eastAsia"/>
                <w:lang w:val="en-US" w:eastAsia="zh-CN"/>
              </w:rPr>
            </w:pPr>
            <w:r>
              <w:rPr>
                <w:rFonts w:hint="eastAsia"/>
                <w:lang w:val="en-US" w:eastAsia="zh-CN"/>
              </w:rPr>
              <w:drawing>
                <wp:anchor distT="0" distB="0" distL="114300" distR="114300" simplePos="0" relativeHeight="251666432" behindDoc="0" locked="0" layoutInCell="1" allowOverlap="1">
                  <wp:simplePos x="0" y="0"/>
                  <wp:positionH relativeFrom="column">
                    <wp:posOffset>13335</wp:posOffset>
                  </wp:positionH>
                  <wp:positionV relativeFrom="paragraph">
                    <wp:posOffset>-1235075</wp:posOffset>
                  </wp:positionV>
                  <wp:extent cx="3447415" cy="2585720"/>
                  <wp:effectExtent l="0" t="0" r="635" b="5080"/>
                  <wp:wrapTopAndBottom/>
                  <wp:docPr id="16" name="图片 16" descr="IMG_20251010_115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IMG_20251010_115728"/>
                          <pic:cNvPicPr>
                            <a:picLocks noChangeAspect="1"/>
                          </pic:cNvPicPr>
                        </pic:nvPicPr>
                        <pic:blipFill>
                          <a:blip r:embed="rId17"/>
                          <a:stretch>
                            <a:fillRect/>
                          </a:stretch>
                        </pic:blipFill>
                        <pic:spPr>
                          <a:xfrm>
                            <a:off x="0" y="0"/>
                            <a:ext cx="3447415" cy="2585720"/>
                          </a:xfrm>
                          <a:prstGeom prst="rect">
                            <a:avLst/>
                          </a:prstGeom>
                        </pic:spPr>
                      </pic:pic>
                    </a:graphicData>
                  </a:graphic>
                </wp:anchor>
              </w:drawing>
            </w:r>
          </w:p>
        </w:tc>
      </w:tr>
      <w:tr w14:paraId="32B44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8" w:hRule="atLeast"/>
          <w:tblHeader/>
          <w:jc w:val="center"/>
        </w:trPr>
        <w:tc>
          <w:tcPr>
            <w:tcW w:w="1104" w:type="dxa"/>
            <w:vMerge w:val="restart"/>
            <w:noWrap w:val="0"/>
            <w:vAlign w:val="center"/>
          </w:tcPr>
          <w:p w14:paraId="415C1B6D">
            <w:pPr>
              <w:pStyle w:val="22"/>
              <w:spacing w:line="300" w:lineRule="exact"/>
              <w:ind w:firstLine="0" w:firstLineChars="0"/>
              <w:jc w:val="center"/>
              <w:rPr>
                <w:rFonts w:hint="eastAsia" w:ascii="宋体" w:hAnsi="宋体"/>
                <w:sz w:val="21"/>
                <w:szCs w:val="21"/>
                <w:lang w:val="en-US" w:eastAsia="zh-CN"/>
              </w:rPr>
            </w:pPr>
            <w:r>
              <w:rPr>
                <w:rFonts w:hint="eastAsia" w:ascii="宋体" w:hAnsi="宋体"/>
                <w:sz w:val="21"/>
                <w:szCs w:val="21"/>
                <w:lang w:val="en-US" w:eastAsia="zh-CN"/>
              </w:rPr>
              <w:t>开州区五通乡老林沟饮用水源地</w:t>
            </w:r>
          </w:p>
        </w:tc>
        <w:tc>
          <w:tcPr>
            <w:tcW w:w="1554" w:type="dxa"/>
            <w:noWrap w:val="0"/>
            <w:vAlign w:val="center"/>
          </w:tcPr>
          <w:p w14:paraId="196723C7">
            <w:pPr>
              <w:pStyle w:val="22"/>
              <w:spacing w:line="300" w:lineRule="exact"/>
              <w:ind w:firstLine="0" w:firstLineChars="0"/>
              <w:jc w:val="center"/>
              <w:rPr>
                <w:rFonts w:hint="default" w:ascii="宋体" w:hAnsi="宋体"/>
                <w:sz w:val="21"/>
                <w:szCs w:val="21"/>
                <w:lang w:val="en-US" w:eastAsia="zh-CN"/>
              </w:rPr>
            </w:pPr>
            <w:r>
              <w:rPr>
                <w:rFonts w:hint="eastAsia" w:ascii="宋体" w:hAnsi="宋体"/>
                <w:sz w:val="21"/>
                <w:szCs w:val="21"/>
                <w:lang w:val="en-US" w:eastAsia="zh-CN"/>
              </w:rPr>
              <w:t>取水点监控摄像头</w:t>
            </w:r>
          </w:p>
        </w:tc>
        <w:tc>
          <w:tcPr>
            <w:tcW w:w="5846" w:type="dxa"/>
            <w:noWrap w:val="0"/>
            <w:vAlign w:val="center"/>
          </w:tcPr>
          <w:p w14:paraId="0B5B36A6">
            <w:pPr>
              <w:pStyle w:val="22"/>
              <w:spacing w:line="300" w:lineRule="exact"/>
              <w:ind w:firstLine="0" w:firstLineChars="0"/>
              <w:jc w:val="center"/>
              <w:rPr>
                <w:rFonts w:hint="eastAsia"/>
                <w:lang w:val="en-US" w:eastAsia="zh-CN"/>
              </w:rPr>
            </w:pPr>
            <w:r>
              <w:rPr>
                <w:rFonts w:hint="eastAsia"/>
                <w:lang w:val="en-US" w:eastAsia="zh-CN"/>
              </w:rPr>
              <w:drawing>
                <wp:anchor distT="0" distB="0" distL="114300" distR="114300" simplePos="0" relativeHeight="251671552" behindDoc="0" locked="0" layoutInCell="1" allowOverlap="1">
                  <wp:simplePos x="0" y="0"/>
                  <wp:positionH relativeFrom="column">
                    <wp:posOffset>381000</wp:posOffset>
                  </wp:positionH>
                  <wp:positionV relativeFrom="paragraph">
                    <wp:posOffset>88900</wp:posOffset>
                  </wp:positionV>
                  <wp:extent cx="2571750" cy="2503170"/>
                  <wp:effectExtent l="0" t="0" r="0" b="11430"/>
                  <wp:wrapTopAndBottom/>
                  <wp:docPr id="24" name="图片 24" descr="IMG_20251010_115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IMG_20251010_115345"/>
                          <pic:cNvPicPr>
                            <a:picLocks noChangeAspect="1"/>
                          </pic:cNvPicPr>
                        </pic:nvPicPr>
                        <pic:blipFill>
                          <a:blip r:embed="rId18"/>
                          <a:stretch>
                            <a:fillRect/>
                          </a:stretch>
                        </pic:blipFill>
                        <pic:spPr>
                          <a:xfrm>
                            <a:off x="0" y="0"/>
                            <a:ext cx="2571750" cy="2503170"/>
                          </a:xfrm>
                          <a:prstGeom prst="rect">
                            <a:avLst/>
                          </a:prstGeom>
                        </pic:spPr>
                      </pic:pic>
                    </a:graphicData>
                  </a:graphic>
                </wp:anchor>
              </w:drawing>
            </w:r>
          </w:p>
        </w:tc>
      </w:tr>
      <w:tr w14:paraId="74DBB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8" w:hRule="atLeast"/>
          <w:tblHeader/>
          <w:jc w:val="center"/>
        </w:trPr>
        <w:tc>
          <w:tcPr>
            <w:tcW w:w="1104" w:type="dxa"/>
            <w:vMerge w:val="continue"/>
            <w:noWrap w:val="0"/>
            <w:vAlign w:val="center"/>
          </w:tcPr>
          <w:p w14:paraId="0BDD16AD">
            <w:pPr>
              <w:pStyle w:val="22"/>
              <w:spacing w:line="300" w:lineRule="exact"/>
              <w:ind w:firstLine="0" w:firstLineChars="0"/>
              <w:jc w:val="center"/>
              <w:rPr>
                <w:rFonts w:hint="eastAsia" w:ascii="宋体" w:hAnsi="宋体"/>
                <w:sz w:val="21"/>
                <w:szCs w:val="21"/>
                <w:lang w:val="en-US" w:eastAsia="zh-CN"/>
              </w:rPr>
            </w:pPr>
          </w:p>
        </w:tc>
        <w:tc>
          <w:tcPr>
            <w:tcW w:w="1554" w:type="dxa"/>
            <w:noWrap w:val="0"/>
            <w:vAlign w:val="center"/>
          </w:tcPr>
          <w:p w14:paraId="77346500">
            <w:pPr>
              <w:pStyle w:val="22"/>
              <w:spacing w:line="300" w:lineRule="exact"/>
              <w:ind w:firstLine="0" w:firstLineChars="0"/>
              <w:jc w:val="center"/>
              <w:rPr>
                <w:rFonts w:hint="eastAsia" w:ascii="宋体" w:hAnsi="宋体"/>
                <w:sz w:val="21"/>
                <w:szCs w:val="21"/>
                <w:lang w:val="en-US" w:eastAsia="zh-CN"/>
              </w:rPr>
            </w:pPr>
            <w:r>
              <w:rPr>
                <w:rFonts w:hint="default" w:ascii="宋体" w:hAnsi="宋体"/>
                <w:sz w:val="21"/>
                <w:szCs w:val="21"/>
                <w:lang w:val="en-US" w:eastAsia="zh-CN"/>
              </w:rPr>
              <w:t>取水</w:t>
            </w:r>
            <w:r>
              <w:rPr>
                <w:rFonts w:hint="eastAsia" w:ascii="宋体" w:hAnsi="宋体"/>
                <w:sz w:val="21"/>
                <w:szCs w:val="21"/>
                <w:lang w:val="en-US" w:eastAsia="zh-CN"/>
              </w:rPr>
              <w:t>路线中间沉淀池</w:t>
            </w:r>
          </w:p>
        </w:tc>
        <w:tc>
          <w:tcPr>
            <w:tcW w:w="5846" w:type="dxa"/>
            <w:noWrap w:val="0"/>
            <w:vAlign w:val="center"/>
          </w:tcPr>
          <w:p w14:paraId="19C7944C">
            <w:pPr>
              <w:pStyle w:val="22"/>
              <w:spacing w:line="300" w:lineRule="exact"/>
              <w:ind w:firstLine="0" w:firstLineChars="0"/>
              <w:jc w:val="center"/>
              <w:rPr>
                <w:rFonts w:hint="eastAsia"/>
                <w:lang w:val="en-US" w:eastAsia="zh-CN"/>
              </w:rPr>
            </w:pPr>
            <w:r>
              <w:drawing>
                <wp:anchor distT="0" distB="0" distL="114300" distR="114300" simplePos="0" relativeHeight="251667456" behindDoc="0" locked="0" layoutInCell="1" allowOverlap="1">
                  <wp:simplePos x="0" y="0"/>
                  <wp:positionH relativeFrom="column">
                    <wp:posOffset>308610</wp:posOffset>
                  </wp:positionH>
                  <wp:positionV relativeFrom="paragraph">
                    <wp:posOffset>-1044575</wp:posOffset>
                  </wp:positionV>
                  <wp:extent cx="2840990" cy="2196465"/>
                  <wp:effectExtent l="0" t="0" r="16510" b="13335"/>
                  <wp:wrapTopAndBottom/>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9"/>
                          <a:stretch>
                            <a:fillRect/>
                          </a:stretch>
                        </pic:blipFill>
                        <pic:spPr>
                          <a:xfrm>
                            <a:off x="0" y="0"/>
                            <a:ext cx="2840990" cy="2196465"/>
                          </a:xfrm>
                          <a:prstGeom prst="rect">
                            <a:avLst/>
                          </a:prstGeom>
                          <a:noFill/>
                          <a:ln>
                            <a:noFill/>
                          </a:ln>
                        </pic:spPr>
                      </pic:pic>
                    </a:graphicData>
                  </a:graphic>
                </wp:anchor>
              </w:drawing>
            </w:r>
          </w:p>
        </w:tc>
      </w:tr>
      <w:tr w14:paraId="6E5E2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8" w:hRule="atLeast"/>
          <w:tblHeader/>
          <w:jc w:val="center"/>
        </w:trPr>
        <w:tc>
          <w:tcPr>
            <w:tcW w:w="1104" w:type="dxa"/>
            <w:vMerge w:val="continue"/>
            <w:noWrap w:val="0"/>
            <w:vAlign w:val="center"/>
          </w:tcPr>
          <w:p w14:paraId="4F387E88">
            <w:pPr>
              <w:pStyle w:val="22"/>
              <w:spacing w:line="300" w:lineRule="exact"/>
              <w:ind w:firstLine="0" w:firstLineChars="0"/>
              <w:jc w:val="center"/>
              <w:rPr>
                <w:rFonts w:hint="eastAsia" w:ascii="宋体" w:hAnsi="宋体"/>
                <w:sz w:val="21"/>
                <w:szCs w:val="21"/>
                <w:lang w:val="en-US" w:eastAsia="zh-CN"/>
              </w:rPr>
            </w:pPr>
          </w:p>
        </w:tc>
        <w:tc>
          <w:tcPr>
            <w:tcW w:w="1554" w:type="dxa"/>
            <w:noWrap w:val="0"/>
            <w:vAlign w:val="center"/>
          </w:tcPr>
          <w:p w14:paraId="2F3B1CA9">
            <w:pPr>
              <w:pStyle w:val="22"/>
              <w:spacing w:line="300" w:lineRule="exact"/>
              <w:ind w:firstLine="0" w:firstLineChars="0"/>
              <w:jc w:val="center"/>
              <w:rPr>
                <w:rFonts w:hint="eastAsia" w:ascii="宋体" w:hAnsi="宋体"/>
                <w:sz w:val="21"/>
                <w:szCs w:val="21"/>
                <w:lang w:val="en-US" w:eastAsia="zh-CN"/>
              </w:rPr>
            </w:pPr>
            <w:r>
              <w:rPr>
                <w:rFonts w:hint="default" w:ascii="宋体" w:hAnsi="宋体"/>
                <w:sz w:val="21"/>
                <w:szCs w:val="21"/>
                <w:lang w:val="en-US" w:eastAsia="zh-CN"/>
              </w:rPr>
              <w:t>取水点</w:t>
            </w:r>
            <w:r>
              <w:rPr>
                <w:rFonts w:hint="eastAsia" w:ascii="宋体" w:hAnsi="宋体"/>
                <w:sz w:val="21"/>
                <w:szCs w:val="21"/>
                <w:lang w:val="en-US" w:eastAsia="zh-CN"/>
              </w:rPr>
              <w:t>河道上游</w:t>
            </w:r>
          </w:p>
        </w:tc>
        <w:tc>
          <w:tcPr>
            <w:tcW w:w="5846" w:type="dxa"/>
            <w:noWrap w:val="0"/>
            <w:vAlign w:val="center"/>
          </w:tcPr>
          <w:p w14:paraId="335ED395">
            <w:pPr>
              <w:pStyle w:val="22"/>
              <w:spacing w:line="300" w:lineRule="exact"/>
              <w:ind w:firstLine="0" w:firstLineChars="0"/>
              <w:jc w:val="center"/>
              <w:rPr>
                <w:rFonts w:hint="eastAsia"/>
                <w:lang w:val="en-US" w:eastAsia="zh-CN"/>
              </w:rPr>
            </w:pPr>
            <w:r>
              <w:drawing>
                <wp:anchor distT="0" distB="0" distL="114300" distR="114300" simplePos="0" relativeHeight="251668480" behindDoc="0" locked="0" layoutInCell="1" allowOverlap="1">
                  <wp:simplePos x="0" y="0"/>
                  <wp:positionH relativeFrom="column">
                    <wp:posOffset>308610</wp:posOffset>
                  </wp:positionH>
                  <wp:positionV relativeFrom="paragraph">
                    <wp:posOffset>-1006475</wp:posOffset>
                  </wp:positionV>
                  <wp:extent cx="2842260" cy="2119630"/>
                  <wp:effectExtent l="0" t="0" r="15240" b="13970"/>
                  <wp:wrapTopAndBottom/>
                  <wp:docPr id="1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
                          <pic:cNvPicPr>
                            <a:picLocks noChangeAspect="1"/>
                          </pic:cNvPicPr>
                        </pic:nvPicPr>
                        <pic:blipFill>
                          <a:blip r:embed="rId20"/>
                          <a:stretch>
                            <a:fillRect/>
                          </a:stretch>
                        </pic:blipFill>
                        <pic:spPr>
                          <a:xfrm>
                            <a:off x="0" y="0"/>
                            <a:ext cx="2842260" cy="2119630"/>
                          </a:xfrm>
                          <a:prstGeom prst="rect">
                            <a:avLst/>
                          </a:prstGeom>
                          <a:noFill/>
                          <a:ln>
                            <a:noFill/>
                          </a:ln>
                        </pic:spPr>
                      </pic:pic>
                    </a:graphicData>
                  </a:graphic>
                </wp:anchor>
              </w:drawing>
            </w:r>
          </w:p>
        </w:tc>
      </w:tr>
      <w:tr w14:paraId="50EBA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8" w:hRule="atLeast"/>
          <w:tblHeader/>
          <w:jc w:val="center"/>
        </w:trPr>
        <w:tc>
          <w:tcPr>
            <w:tcW w:w="1104" w:type="dxa"/>
            <w:vMerge w:val="restart"/>
            <w:noWrap w:val="0"/>
            <w:vAlign w:val="center"/>
          </w:tcPr>
          <w:p w14:paraId="338BD628">
            <w:pPr>
              <w:pStyle w:val="22"/>
              <w:spacing w:line="300" w:lineRule="exact"/>
              <w:ind w:firstLine="0" w:firstLineChars="0"/>
              <w:jc w:val="center"/>
              <w:rPr>
                <w:rFonts w:hint="eastAsia" w:ascii="宋体" w:hAnsi="宋体"/>
                <w:sz w:val="21"/>
                <w:szCs w:val="21"/>
                <w:lang w:val="en-US" w:eastAsia="zh-CN"/>
              </w:rPr>
            </w:pPr>
            <w:r>
              <w:rPr>
                <w:rFonts w:hint="eastAsia" w:ascii="宋体" w:hAnsi="宋体"/>
                <w:sz w:val="21"/>
                <w:szCs w:val="21"/>
                <w:lang w:val="en-US" w:eastAsia="zh-CN"/>
              </w:rPr>
              <w:t>开州区五通乡老林沟饮用水源地</w:t>
            </w:r>
          </w:p>
        </w:tc>
        <w:tc>
          <w:tcPr>
            <w:tcW w:w="1554" w:type="dxa"/>
            <w:noWrap w:val="0"/>
            <w:vAlign w:val="center"/>
          </w:tcPr>
          <w:p w14:paraId="0619A171">
            <w:pPr>
              <w:pStyle w:val="22"/>
              <w:spacing w:line="300" w:lineRule="exact"/>
              <w:ind w:firstLine="0" w:firstLineChars="0"/>
              <w:jc w:val="center"/>
              <w:rPr>
                <w:rFonts w:hint="default" w:ascii="宋体" w:hAnsi="宋体"/>
                <w:sz w:val="21"/>
                <w:szCs w:val="21"/>
                <w:lang w:val="en-US" w:eastAsia="zh-CN"/>
              </w:rPr>
            </w:pPr>
            <w:r>
              <w:rPr>
                <w:rFonts w:hint="default" w:ascii="宋体" w:hAnsi="宋体"/>
                <w:sz w:val="21"/>
                <w:szCs w:val="21"/>
                <w:lang w:val="en-US" w:eastAsia="zh-CN"/>
              </w:rPr>
              <w:t>取水点</w:t>
            </w:r>
            <w:r>
              <w:rPr>
                <w:rFonts w:hint="eastAsia" w:ascii="宋体" w:hAnsi="宋体"/>
                <w:sz w:val="21"/>
                <w:szCs w:val="21"/>
                <w:lang w:val="en-US" w:eastAsia="zh-CN"/>
              </w:rPr>
              <w:t>河道下游</w:t>
            </w:r>
          </w:p>
        </w:tc>
        <w:tc>
          <w:tcPr>
            <w:tcW w:w="5846" w:type="dxa"/>
            <w:noWrap w:val="0"/>
            <w:vAlign w:val="center"/>
          </w:tcPr>
          <w:p w14:paraId="4F29CBD5">
            <w:pPr>
              <w:pStyle w:val="22"/>
              <w:spacing w:line="300" w:lineRule="exact"/>
              <w:ind w:firstLine="0" w:firstLineChars="0"/>
              <w:jc w:val="center"/>
            </w:pPr>
            <w:r>
              <w:drawing>
                <wp:anchor distT="0" distB="0" distL="114300" distR="114300" simplePos="0" relativeHeight="251670528" behindDoc="0" locked="0" layoutInCell="1" allowOverlap="1">
                  <wp:simplePos x="0" y="0"/>
                  <wp:positionH relativeFrom="column">
                    <wp:posOffset>251460</wp:posOffset>
                  </wp:positionH>
                  <wp:positionV relativeFrom="paragraph">
                    <wp:posOffset>-130175</wp:posOffset>
                  </wp:positionV>
                  <wp:extent cx="2845435" cy="2003425"/>
                  <wp:effectExtent l="0" t="0" r="12065" b="15875"/>
                  <wp:wrapTopAndBottom/>
                  <wp:docPr id="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
                          <pic:cNvPicPr>
                            <a:picLocks noChangeAspect="1"/>
                          </pic:cNvPicPr>
                        </pic:nvPicPr>
                        <pic:blipFill>
                          <a:blip r:embed="rId21"/>
                          <a:stretch>
                            <a:fillRect/>
                          </a:stretch>
                        </pic:blipFill>
                        <pic:spPr>
                          <a:xfrm>
                            <a:off x="0" y="0"/>
                            <a:ext cx="2845435" cy="2003425"/>
                          </a:xfrm>
                          <a:prstGeom prst="rect">
                            <a:avLst/>
                          </a:prstGeom>
                          <a:noFill/>
                          <a:ln>
                            <a:noFill/>
                          </a:ln>
                        </pic:spPr>
                      </pic:pic>
                    </a:graphicData>
                  </a:graphic>
                </wp:anchor>
              </w:drawing>
            </w:r>
          </w:p>
        </w:tc>
      </w:tr>
      <w:tr w14:paraId="4C837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8" w:hRule="atLeast"/>
          <w:tblHeader/>
          <w:jc w:val="center"/>
        </w:trPr>
        <w:tc>
          <w:tcPr>
            <w:tcW w:w="1104" w:type="dxa"/>
            <w:vMerge w:val="continue"/>
            <w:noWrap w:val="0"/>
            <w:vAlign w:val="center"/>
          </w:tcPr>
          <w:p w14:paraId="400E0844">
            <w:pPr>
              <w:pStyle w:val="22"/>
              <w:spacing w:line="300" w:lineRule="exact"/>
              <w:ind w:firstLine="0" w:firstLineChars="0"/>
              <w:jc w:val="center"/>
              <w:rPr>
                <w:rFonts w:hint="eastAsia" w:ascii="宋体" w:hAnsi="宋体"/>
                <w:sz w:val="21"/>
                <w:szCs w:val="21"/>
                <w:lang w:val="en-US" w:eastAsia="zh-CN"/>
              </w:rPr>
            </w:pPr>
          </w:p>
        </w:tc>
        <w:tc>
          <w:tcPr>
            <w:tcW w:w="1554" w:type="dxa"/>
            <w:noWrap w:val="0"/>
            <w:vAlign w:val="center"/>
          </w:tcPr>
          <w:p w14:paraId="08A13F73">
            <w:pPr>
              <w:pStyle w:val="22"/>
              <w:spacing w:line="300" w:lineRule="exact"/>
              <w:ind w:firstLine="0" w:firstLineChars="0"/>
              <w:jc w:val="center"/>
              <w:rPr>
                <w:rFonts w:hint="default" w:ascii="宋体" w:hAnsi="宋体"/>
                <w:sz w:val="21"/>
                <w:szCs w:val="21"/>
                <w:lang w:val="en-US" w:eastAsia="zh-CN"/>
              </w:rPr>
            </w:pPr>
            <w:r>
              <w:rPr>
                <w:rFonts w:hint="eastAsia" w:ascii="宋体" w:hAnsi="宋体"/>
                <w:sz w:val="21"/>
                <w:szCs w:val="21"/>
                <w:lang w:val="en-US" w:eastAsia="zh-CN"/>
              </w:rPr>
              <w:t>饮用水保护范围示意图</w:t>
            </w:r>
          </w:p>
        </w:tc>
        <w:tc>
          <w:tcPr>
            <w:tcW w:w="5846" w:type="dxa"/>
            <w:noWrap w:val="0"/>
            <w:vAlign w:val="center"/>
          </w:tcPr>
          <w:p w14:paraId="4921B0F3">
            <w:pPr>
              <w:pStyle w:val="22"/>
              <w:spacing w:line="300" w:lineRule="exact"/>
              <w:ind w:firstLine="0" w:firstLineChars="0"/>
              <w:jc w:val="center"/>
              <w:rPr>
                <w:rFonts w:hint="eastAsia" w:eastAsiaTheme="minorEastAsia"/>
                <w:lang w:eastAsia="zh-CN"/>
              </w:rPr>
            </w:pPr>
            <w:r>
              <w:rPr>
                <w:rFonts w:hint="eastAsia" w:eastAsiaTheme="minorEastAsia"/>
                <w:lang w:eastAsia="zh-CN"/>
              </w:rPr>
              <w:drawing>
                <wp:anchor distT="0" distB="0" distL="114300" distR="114300" simplePos="0" relativeHeight="251669504" behindDoc="0" locked="0" layoutInCell="1" allowOverlap="1">
                  <wp:simplePos x="0" y="0"/>
                  <wp:positionH relativeFrom="column">
                    <wp:posOffset>13335</wp:posOffset>
                  </wp:positionH>
                  <wp:positionV relativeFrom="paragraph">
                    <wp:posOffset>107950</wp:posOffset>
                  </wp:positionV>
                  <wp:extent cx="3447415" cy="4596130"/>
                  <wp:effectExtent l="0" t="0" r="635" b="13970"/>
                  <wp:wrapTopAndBottom/>
                  <wp:docPr id="21" name="图片 21" descr="IMG_20251010_115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IMG_20251010_115437"/>
                          <pic:cNvPicPr>
                            <a:picLocks noChangeAspect="1"/>
                          </pic:cNvPicPr>
                        </pic:nvPicPr>
                        <pic:blipFill>
                          <a:blip r:embed="rId22"/>
                          <a:stretch>
                            <a:fillRect/>
                          </a:stretch>
                        </pic:blipFill>
                        <pic:spPr>
                          <a:xfrm>
                            <a:off x="0" y="0"/>
                            <a:ext cx="3447415" cy="4596130"/>
                          </a:xfrm>
                          <a:prstGeom prst="rect">
                            <a:avLst/>
                          </a:prstGeom>
                        </pic:spPr>
                      </pic:pic>
                    </a:graphicData>
                  </a:graphic>
                </wp:anchor>
              </w:drawing>
            </w:r>
          </w:p>
        </w:tc>
      </w:tr>
    </w:tbl>
    <w:p w14:paraId="492AB381">
      <w:pPr>
        <w:spacing w:line="520" w:lineRule="exact"/>
        <w:ind w:firstLine="560" w:firstLineChars="200"/>
        <w:rPr>
          <w:rFonts w:hint="eastAsia" w:ascii="宋体" w:hAnsi="宋体"/>
          <w:sz w:val="28"/>
          <w:szCs w:val="28"/>
        </w:rPr>
      </w:pPr>
      <w:r>
        <w:rPr>
          <w:rFonts w:hint="eastAsia" w:ascii="宋体" w:hAnsi="宋体"/>
          <w:sz w:val="28"/>
          <w:szCs w:val="28"/>
          <w:lang w:eastAsia="zh-CN"/>
        </w:rPr>
        <w:t>（</w:t>
      </w:r>
      <w:r>
        <w:rPr>
          <w:rFonts w:hint="eastAsia" w:ascii="宋体" w:hAnsi="宋体"/>
          <w:sz w:val="28"/>
          <w:szCs w:val="28"/>
          <w:lang w:val="en-US" w:eastAsia="zh-CN"/>
        </w:rPr>
        <w:t>2</w:t>
      </w:r>
      <w:r>
        <w:rPr>
          <w:rFonts w:hint="eastAsia" w:ascii="宋体" w:hAnsi="宋体"/>
          <w:sz w:val="28"/>
          <w:szCs w:val="28"/>
          <w:lang w:eastAsia="zh-CN"/>
        </w:rPr>
        <w:t>）</w:t>
      </w:r>
      <w:r>
        <w:rPr>
          <w:rFonts w:hint="eastAsia" w:ascii="宋体" w:hAnsi="宋体"/>
          <w:sz w:val="28"/>
          <w:szCs w:val="28"/>
        </w:rPr>
        <w:t>饮用水源地保护区重点保护工程情况</w:t>
      </w:r>
    </w:p>
    <w:p w14:paraId="5A4EFE4E">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1）保护区标志、隔离防护设置情况</w:t>
      </w:r>
    </w:p>
    <w:p w14:paraId="469B7E87">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开州区五通乡老林沟水源地已根据《饮用水水源保护区标志技术要求（HJ／T_433-2008）》的要求设置一级、二级保护区边界界标、界桩等。水源保护区一、二级保护区内没有交通道路穿越，不需设置道路警示牌；在下游上山公路处设置保护区宣传牌，开州区五通乡老林沟水源地人为活动较少，有部分可利用的天然地形地貌隔离，并设置明显的具有保护性功能的隔离防护措施。</w:t>
      </w:r>
    </w:p>
    <w:p w14:paraId="6B8C34E7">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2）监控能力建设情况</w:t>
      </w:r>
    </w:p>
    <w:p w14:paraId="648F0976">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根据现场调查，水源地下游的浦里河赵家桥设置有监测断面，由重庆市开州区生态环境监测中心对设置断面水质进行定期监测。</w:t>
      </w:r>
    </w:p>
    <w:p w14:paraId="55536DC9">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根据现场调查，水源地在取水口处设置有视频监控。</w:t>
      </w:r>
    </w:p>
    <w:p w14:paraId="06AF6362">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3）风险防控与应急能力建设情况</w:t>
      </w:r>
    </w:p>
    <w:p w14:paraId="5EF772E2">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①风险识别与防范</w:t>
      </w:r>
    </w:p>
    <w:p w14:paraId="0A49FF4B">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据调查了解，</w:t>
      </w:r>
      <w:r>
        <w:rPr>
          <w:rFonts w:hint="eastAsia" w:cs="宋体"/>
          <w:color w:val="auto"/>
          <w:sz w:val="28"/>
          <w:szCs w:val="28"/>
          <w:lang w:val="en-US" w:eastAsia="zh-CN"/>
        </w:rPr>
        <w:t>五通水厂</w:t>
      </w:r>
      <w:r>
        <w:rPr>
          <w:rFonts w:hint="eastAsia" w:ascii="宋体" w:hAnsi="宋体" w:eastAsia="宋体" w:cs="宋体"/>
          <w:color w:val="auto"/>
          <w:sz w:val="28"/>
          <w:szCs w:val="28"/>
          <w:lang w:val="en-US" w:eastAsia="zh-CN"/>
        </w:rPr>
        <w:t>集中式饮用水水源地上游及周边存在风险源，主要包括农村居民生活、农田灌溉、家禽养殖等，水源地尚未建立风险源名录和危险化学品运输管理制度。</w:t>
      </w:r>
    </w:p>
    <w:p w14:paraId="7FD17B17">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②应急能力</w:t>
      </w:r>
    </w:p>
    <w:p w14:paraId="17AAE2FB">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据调查了解，</w:t>
      </w:r>
      <w:r>
        <w:rPr>
          <w:rFonts w:hint="eastAsia" w:cs="宋体"/>
          <w:color w:val="auto"/>
          <w:sz w:val="28"/>
          <w:szCs w:val="28"/>
          <w:lang w:val="en-US" w:eastAsia="zh-CN"/>
        </w:rPr>
        <w:t>五通水厂</w:t>
      </w:r>
      <w:r>
        <w:rPr>
          <w:rFonts w:hint="eastAsia" w:ascii="宋体" w:hAnsi="宋体" w:eastAsia="宋体" w:cs="宋体"/>
          <w:color w:val="auto"/>
          <w:sz w:val="28"/>
          <w:szCs w:val="28"/>
          <w:lang w:val="en-US" w:eastAsia="zh-CN"/>
        </w:rPr>
        <w:t>饮用水水源地已具备应急预案、救济物资、技术储备、应急防护工程设施、应急专家队伍等相应应急能力。</w:t>
      </w:r>
    </w:p>
    <w:p w14:paraId="524C9938">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4）水源地一源一档建设</w:t>
      </w:r>
    </w:p>
    <w:p w14:paraId="144CCC80">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据调查了解，该水源地已进行资料汇编，建立《重庆市开州区</w:t>
      </w:r>
      <w:r>
        <w:rPr>
          <w:rFonts w:hint="eastAsia" w:cs="宋体"/>
          <w:color w:val="auto"/>
          <w:sz w:val="28"/>
          <w:szCs w:val="28"/>
          <w:lang w:val="en-US" w:eastAsia="zh-CN"/>
        </w:rPr>
        <w:t>五通水厂</w:t>
      </w:r>
      <w:r>
        <w:rPr>
          <w:rFonts w:hint="eastAsia" w:ascii="宋体" w:hAnsi="宋体" w:eastAsia="宋体" w:cs="宋体"/>
          <w:color w:val="auto"/>
          <w:sz w:val="28"/>
          <w:szCs w:val="28"/>
          <w:lang w:val="en-US" w:eastAsia="zh-CN"/>
        </w:rPr>
        <w:t>饮用水水源地一源一档》。</w:t>
      </w:r>
    </w:p>
    <w:p w14:paraId="08A8D0F2">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汇编资料如下表所示。</w:t>
      </w:r>
      <w:bookmarkStart w:id="31" w:name="_Ref524336654"/>
    </w:p>
    <w:p w14:paraId="6C3FDDE4">
      <w:pPr>
        <w:pStyle w:val="22"/>
        <w:spacing w:line="520" w:lineRule="exact"/>
        <w:ind w:firstLine="0" w:firstLineChars="0"/>
        <w:jc w:val="center"/>
        <w:rPr>
          <w:rFonts w:hint="eastAsia" w:ascii="宋体" w:hAnsi="宋体"/>
          <w:b/>
          <w:bCs/>
          <w:sz w:val="24"/>
          <w:lang w:val="en-US" w:eastAsia="zh-CN"/>
        </w:rPr>
      </w:pPr>
      <w:r>
        <w:rPr>
          <w:rFonts w:hint="eastAsia" w:ascii="宋体" w:hAnsi="宋体"/>
          <w:b/>
          <w:bCs/>
          <w:sz w:val="24"/>
          <w:lang w:val="en-US" w:eastAsia="zh-CN"/>
        </w:rPr>
        <w:t>表</w:t>
      </w:r>
      <w:bookmarkEnd w:id="31"/>
      <w:r>
        <w:rPr>
          <w:rFonts w:hint="eastAsia" w:ascii="宋体" w:hAnsi="宋体"/>
          <w:b/>
          <w:bCs/>
          <w:sz w:val="24"/>
          <w:lang w:val="en-US" w:eastAsia="zh-CN"/>
        </w:rPr>
        <w:t xml:space="preserve"> 2.3-2 开州区五通乡老林沟水源地一源一档资料</w:t>
      </w:r>
    </w:p>
    <w:tbl>
      <w:tblPr>
        <w:tblStyle w:val="16"/>
        <w:tblW w:w="850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95"/>
        <w:gridCol w:w="5429"/>
        <w:gridCol w:w="2380"/>
      </w:tblGrid>
      <w:tr w14:paraId="26C2F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0" w:type="dxa"/>
            <w:noWrap w:val="0"/>
            <w:vAlign w:val="center"/>
          </w:tcPr>
          <w:p w14:paraId="7EF7AA3D">
            <w:pPr>
              <w:pStyle w:val="23"/>
              <w:keepNext w:val="0"/>
              <w:keepLines w:val="0"/>
              <w:pageBreakBefore w:val="0"/>
              <w:widowControl w:val="0"/>
              <w:kinsoku/>
              <w:wordWrap/>
              <w:overflowPunct/>
              <w:topLinePunct w:val="0"/>
              <w:autoSpaceDE/>
              <w:autoSpaceDN/>
              <w:bidi w:val="0"/>
              <w:adjustRightInd w:val="0"/>
              <w:snapToGrid/>
              <w:spacing w:line="300" w:lineRule="exact"/>
              <w:ind w:firstLine="0"/>
              <w:textAlignment w:val="auto"/>
              <w:rPr>
                <w:sz w:val="21"/>
                <w:szCs w:val="21"/>
              </w:rPr>
            </w:pPr>
            <w:r>
              <w:rPr>
                <w:rFonts w:hAnsi="宋体"/>
                <w:sz w:val="21"/>
                <w:szCs w:val="21"/>
              </w:rPr>
              <w:t>序号</w:t>
            </w:r>
          </w:p>
        </w:tc>
        <w:tc>
          <w:tcPr>
            <w:tcW w:w="5596" w:type="dxa"/>
            <w:noWrap w:val="0"/>
            <w:vAlign w:val="center"/>
          </w:tcPr>
          <w:p w14:paraId="173C6C2B">
            <w:pPr>
              <w:pStyle w:val="23"/>
              <w:keepNext w:val="0"/>
              <w:keepLines w:val="0"/>
              <w:pageBreakBefore w:val="0"/>
              <w:widowControl w:val="0"/>
              <w:kinsoku/>
              <w:wordWrap/>
              <w:overflowPunct/>
              <w:topLinePunct w:val="0"/>
              <w:autoSpaceDE/>
              <w:autoSpaceDN/>
              <w:bidi w:val="0"/>
              <w:adjustRightInd w:val="0"/>
              <w:snapToGrid/>
              <w:spacing w:line="300" w:lineRule="exact"/>
              <w:ind w:firstLine="0"/>
              <w:textAlignment w:val="auto"/>
              <w:rPr>
                <w:sz w:val="21"/>
                <w:szCs w:val="21"/>
              </w:rPr>
            </w:pPr>
            <w:r>
              <w:rPr>
                <w:rFonts w:hAnsi="宋体"/>
                <w:sz w:val="21"/>
                <w:szCs w:val="21"/>
              </w:rPr>
              <w:t>文件材料题名</w:t>
            </w:r>
          </w:p>
        </w:tc>
        <w:tc>
          <w:tcPr>
            <w:tcW w:w="2449" w:type="dxa"/>
            <w:noWrap w:val="0"/>
            <w:vAlign w:val="center"/>
          </w:tcPr>
          <w:p w14:paraId="16FAC2D2">
            <w:pPr>
              <w:pStyle w:val="23"/>
              <w:keepNext w:val="0"/>
              <w:keepLines w:val="0"/>
              <w:pageBreakBefore w:val="0"/>
              <w:widowControl w:val="0"/>
              <w:kinsoku/>
              <w:wordWrap/>
              <w:overflowPunct/>
              <w:topLinePunct w:val="0"/>
              <w:autoSpaceDE/>
              <w:autoSpaceDN/>
              <w:bidi w:val="0"/>
              <w:adjustRightInd w:val="0"/>
              <w:snapToGrid/>
              <w:spacing w:line="300" w:lineRule="exact"/>
              <w:ind w:firstLine="0"/>
              <w:textAlignment w:val="auto"/>
              <w:rPr>
                <w:sz w:val="21"/>
                <w:szCs w:val="21"/>
              </w:rPr>
            </w:pPr>
            <w:r>
              <w:rPr>
                <w:rFonts w:hAnsi="宋体"/>
                <w:sz w:val="21"/>
                <w:szCs w:val="21"/>
              </w:rPr>
              <w:t>备注</w:t>
            </w:r>
          </w:p>
        </w:tc>
      </w:tr>
      <w:tr w14:paraId="6DDF37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0" w:type="dxa"/>
            <w:noWrap w:val="0"/>
            <w:vAlign w:val="center"/>
          </w:tcPr>
          <w:p w14:paraId="2BAFBFDA">
            <w:pPr>
              <w:pStyle w:val="23"/>
              <w:keepNext w:val="0"/>
              <w:keepLines w:val="0"/>
              <w:pageBreakBefore w:val="0"/>
              <w:widowControl w:val="0"/>
              <w:kinsoku/>
              <w:wordWrap/>
              <w:overflowPunct/>
              <w:topLinePunct w:val="0"/>
              <w:autoSpaceDE/>
              <w:autoSpaceDN/>
              <w:bidi w:val="0"/>
              <w:adjustRightInd w:val="0"/>
              <w:snapToGrid/>
              <w:spacing w:line="300" w:lineRule="exact"/>
              <w:ind w:firstLine="0"/>
              <w:textAlignment w:val="auto"/>
              <w:rPr>
                <w:sz w:val="21"/>
                <w:szCs w:val="21"/>
              </w:rPr>
            </w:pPr>
            <w:r>
              <w:rPr>
                <w:sz w:val="21"/>
                <w:szCs w:val="21"/>
              </w:rPr>
              <w:t>1</w:t>
            </w:r>
          </w:p>
        </w:tc>
        <w:tc>
          <w:tcPr>
            <w:tcW w:w="5596" w:type="dxa"/>
            <w:noWrap w:val="0"/>
            <w:vAlign w:val="center"/>
          </w:tcPr>
          <w:p w14:paraId="0FD8B9F8">
            <w:pPr>
              <w:pStyle w:val="23"/>
              <w:keepNext w:val="0"/>
              <w:keepLines w:val="0"/>
              <w:pageBreakBefore w:val="0"/>
              <w:widowControl w:val="0"/>
              <w:kinsoku/>
              <w:wordWrap/>
              <w:overflowPunct/>
              <w:topLinePunct w:val="0"/>
              <w:autoSpaceDE/>
              <w:autoSpaceDN/>
              <w:bidi w:val="0"/>
              <w:adjustRightInd w:val="0"/>
              <w:snapToGrid/>
              <w:spacing w:line="300" w:lineRule="exact"/>
              <w:ind w:firstLine="0"/>
              <w:jc w:val="both"/>
              <w:textAlignment w:val="auto"/>
              <w:rPr>
                <w:sz w:val="21"/>
                <w:szCs w:val="21"/>
              </w:rPr>
            </w:pPr>
            <w:r>
              <w:rPr>
                <w:rFonts w:hAnsi="宋体"/>
                <w:sz w:val="21"/>
                <w:szCs w:val="21"/>
              </w:rPr>
              <w:t>《重庆市人民政府办公厅关于调整万州区等</w:t>
            </w:r>
            <w:r>
              <w:rPr>
                <w:sz w:val="21"/>
                <w:szCs w:val="21"/>
              </w:rPr>
              <w:t>36</w:t>
            </w:r>
            <w:r>
              <w:rPr>
                <w:rFonts w:hAnsi="宋体"/>
                <w:sz w:val="21"/>
                <w:szCs w:val="21"/>
              </w:rPr>
              <w:t>个区县（自治县）集中式饮用水水源保护区的通知》</w:t>
            </w:r>
          </w:p>
        </w:tc>
        <w:tc>
          <w:tcPr>
            <w:tcW w:w="2449" w:type="dxa"/>
            <w:noWrap w:val="0"/>
            <w:vAlign w:val="center"/>
          </w:tcPr>
          <w:p w14:paraId="0685D354">
            <w:pPr>
              <w:pStyle w:val="23"/>
              <w:keepNext w:val="0"/>
              <w:keepLines w:val="0"/>
              <w:pageBreakBefore w:val="0"/>
              <w:widowControl w:val="0"/>
              <w:kinsoku/>
              <w:wordWrap/>
              <w:overflowPunct/>
              <w:topLinePunct w:val="0"/>
              <w:autoSpaceDE/>
              <w:autoSpaceDN/>
              <w:bidi w:val="0"/>
              <w:adjustRightInd w:val="0"/>
              <w:snapToGrid/>
              <w:spacing w:line="300" w:lineRule="exact"/>
              <w:ind w:firstLine="0"/>
              <w:textAlignment w:val="auto"/>
              <w:rPr>
                <w:sz w:val="21"/>
                <w:szCs w:val="21"/>
              </w:rPr>
            </w:pPr>
            <w:r>
              <w:rPr>
                <w:rFonts w:hAnsi="宋体"/>
                <w:sz w:val="21"/>
                <w:szCs w:val="21"/>
              </w:rPr>
              <w:t>渝府办</w:t>
            </w:r>
            <w:r>
              <w:rPr>
                <w:sz w:val="21"/>
                <w:szCs w:val="21"/>
              </w:rPr>
              <w:t>[2016]19</w:t>
            </w:r>
            <w:r>
              <w:rPr>
                <w:rFonts w:hAnsi="宋体"/>
                <w:sz w:val="21"/>
                <w:szCs w:val="21"/>
              </w:rPr>
              <w:t>号</w:t>
            </w:r>
          </w:p>
        </w:tc>
      </w:tr>
      <w:tr w14:paraId="1E8E9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0" w:type="dxa"/>
            <w:noWrap w:val="0"/>
            <w:vAlign w:val="center"/>
          </w:tcPr>
          <w:p w14:paraId="247B1677">
            <w:pPr>
              <w:pStyle w:val="23"/>
              <w:keepNext w:val="0"/>
              <w:keepLines w:val="0"/>
              <w:pageBreakBefore w:val="0"/>
              <w:widowControl w:val="0"/>
              <w:kinsoku/>
              <w:wordWrap/>
              <w:overflowPunct/>
              <w:topLinePunct w:val="0"/>
              <w:autoSpaceDE/>
              <w:autoSpaceDN/>
              <w:bidi w:val="0"/>
              <w:adjustRightInd w:val="0"/>
              <w:snapToGrid/>
              <w:spacing w:line="300" w:lineRule="exact"/>
              <w:ind w:firstLine="0"/>
              <w:textAlignment w:val="auto"/>
              <w:rPr>
                <w:sz w:val="21"/>
                <w:szCs w:val="21"/>
              </w:rPr>
            </w:pPr>
            <w:r>
              <w:rPr>
                <w:sz w:val="21"/>
                <w:szCs w:val="21"/>
              </w:rPr>
              <w:t>2</w:t>
            </w:r>
          </w:p>
        </w:tc>
        <w:tc>
          <w:tcPr>
            <w:tcW w:w="5596" w:type="dxa"/>
            <w:noWrap w:val="0"/>
            <w:vAlign w:val="center"/>
          </w:tcPr>
          <w:p w14:paraId="49E93EDD">
            <w:pPr>
              <w:pStyle w:val="23"/>
              <w:keepNext w:val="0"/>
              <w:keepLines w:val="0"/>
              <w:pageBreakBefore w:val="0"/>
              <w:widowControl w:val="0"/>
              <w:kinsoku/>
              <w:wordWrap/>
              <w:overflowPunct/>
              <w:topLinePunct w:val="0"/>
              <w:autoSpaceDE/>
              <w:autoSpaceDN/>
              <w:bidi w:val="0"/>
              <w:adjustRightInd w:val="0"/>
              <w:snapToGrid/>
              <w:spacing w:line="300" w:lineRule="exact"/>
              <w:ind w:firstLine="0"/>
              <w:jc w:val="both"/>
              <w:textAlignment w:val="auto"/>
              <w:rPr>
                <w:sz w:val="21"/>
                <w:szCs w:val="21"/>
              </w:rPr>
            </w:pPr>
            <w:r>
              <w:rPr>
                <w:rFonts w:hAnsi="宋体"/>
                <w:sz w:val="21"/>
                <w:szCs w:val="21"/>
              </w:rPr>
              <w:t>《</w:t>
            </w:r>
            <w:r>
              <w:rPr>
                <w:rFonts w:hint="eastAsia" w:hAnsi="宋体"/>
                <w:sz w:val="21"/>
                <w:szCs w:val="21"/>
              </w:rPr>
              <w:t>重庆市人民政府办公厅关于 印发万州区等区县（开发区）集中式饮用水水源地保护区划分及调整方案的通知</w:t>
            </w:r>
            <w:r>
              <w:rPr>
                <w:rFonts w:hAnsi="宋体"/>
                <w:sz w:val="21"/>
                <w:szCs w:val="21"/>
              </w:rPr>
              <w:t>》</w:t>
            </w:r>
          </w:p>
        </w:tc>
        <w:tc>
          <w:tcPr>
            <w:tcW w:w="2449" w:type="dxa"/>
            <w:noWrap w:val="0"/>
            <w:vAlign w:val="center"/>
          </w:tcPr>
          <w:p w14:paraId="729614AD">
            <w:pPr>
              <w:pStyle w:val="23"/>
              <w:keepNext w:val="0"/>
              <w:keepLines w:val="0"/>
              <w:pageBreakBefore w:val="0"/>
              <w:widowControl w:val="0"/>
              <w:kinsoku/>
              <w:wordWrap/>
              <w:overflowPunct/>
              <w:topLinePunct w:val="0"/>
              <w:autoSpaceDE/>
              <w:autoSpaceDN/>
              <w:bidi w:val="0"/>
              <w:adjustRightInd w:val="0"/>
              <w:snapToGrid/>
              <w:spacing w:line="300" w:lineRule="exact"/>
              <w:ind w:firstLine="0"/>
              <w:textAlignment w:val="auto"/>
              <w:rPr>
                <w:sz w:val="21"/>
                <w:szCs w:val="21"/>
              </w:rPr>
            </w:pPr>
            <w:r>
              <w:rPr>
                <w:rFonts w:hint="eastAsia" w:hAnsi="宋体"/>
                <w:sz w:val="21"/>
                <w:szCs w:val="21"/>
              </w:rPr>
              <w:t>渝府办[2018]7号</w:t>
            </w:r>
          </w:p>
        </w:tc>
      </w:tr>
      <w:tr w14:paraId="029517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0" w:type="dxa"/>
            <w:noWrap w:val="0"/>
            <w:vAlign w:val="center"/>
          </w:tcPr>
          <w:p w14:paraId="65580C8C">
            <w:pPr>
              <w:pStyle w:val="23"/>
              <w:keepNext w:val="0"/>
              <w:keepLines w:val="0"/>
              <w:pageBreakBefore w:val="0"/>
              <w:widowControl w:val="0"/>
              <w:kinsoku/>
              <w:wordWrap/>
              <w:overflowPunct/>
              <w:topLinePunct w:val="0"/>
              <w:autoSpaceDE/>
              <w:autoSpaceDN/>
              <w:bidi w:val="0"/>
              <w:adjustRightInd w:val="0"/>
              <w:snapToGrid/>
              <w:spacing w:line="300" w:lineRule="exact"/>
              <w:ind w:firstLine="0"/>
              <w:textAlignment w:val="auto"/>
              <w:rPr>
                <w:sz w:val="21"/>
                <w:szCs w:val="21"/>
              </w:rPr>
            </w:pPr>
            <w:r>
              <w:rPr>
                <w:sz w:val="21"/>
                <w:szCs w:val="21"/>
              </w:rPr>
              <w:t>3</w:t>
            </w:r>
          </w:p>
        </w:tc>
        <w:tc>
          <w:tcPr>
            <w:tcW w:w="5596" w:type="dxa"/>
            <w:noWrap w:val="0"/>
            <w:vAlign w:val="center"/>
          </w:tcPr>
          <w:p w14:paraId="4620F38C">
            <w:pPr>
              <w:pStyle w:val="23"/>
              <w:keepNext w:val="0"/>
              <w:keepLines w:val="0"/>
              <w:pageBreakBefore w:val="0"/>
              <w:widowControl w:val="0"/>
              <w:kinsoku/>
              <w:wordWrap/>
              <w:overflowPunct/>
              <w:topLinePunct w:val="0"/>
              <w:autoSpaceDE/>
              <w:autoSpaceDN/>
              <w:bidi w:val="0"/>
              <w:adjustRightInd w:val="0"/>
              <w:snapToGrid/>
              <w:spacing w:line="300" w:lineRule="exact"/>
              <w:ind w:firstLine="0"/>
              <w:jc w:val="both"/>
              <w:textAlignment w:val="auto"/>
              <w:rPr>
                <w:rFonts w:hAnsi="宋体"/>
                <w:sz w:val="21"/>
                <w:szCs w:val="21"/>
              </w:rPr>
            </w:pPr>
            <w:r>
              <w:rPr>
                <w:rFonts w:hint="eastAsia" w:hAnsi="宋体"/>
                <w:sz w:val="21"/>
                <w:szCs w:val="21"/>
              </w:rPr>
              <w:t>《重庆市开州区环境保护局关于进一步加强乡镇集中式饮用水水源地管理的通知》</w:t>
            </w:r>
          </w:p>
        </w:tc>
        <w:tc>
          <w:tcPr>
            <w:tcW w:w="2449" w:type="dxa"/>
            <w:noWrap w:val="0"/>
            <w:vAlign w:val="center"/>
          </w:tcPr>
          <w:p w14:paraId="3E1BAB4D">
            <w:pPr>
              <w:pStyle w:val="23"/>
              <w:keepNext w:val="0"/>
              <w:keepLines w:val="0"/>
              <w:pageBreakBefore w:val="0"/>
              <w:widowControl w:val="0"/>
              <w:kinsoku/>
              <w:wordWrap/>
              <w:overflowPunct/>
              <w:topLinePunct w:val="0"/>
              <w:autoSpaceDE/>
              <w:autoSpaceDN/>
              <w:bidi w:val="0"/>
              <w:adjustRightInd w:val="0"/>
              <w:snapToGrid/>
              <w:spacing w:line="300" w:lineRule="exact"/>
              <w:ind w:firstLine="0"/>
              <w:textAlignment w:val="auto"/>
              <w:rPr>
                <w:sz w:val="21"/>
                <w:szCs w:val="21"/>
              </w:rPr>
            </w:pPr>
            <w:r>
              <w:rPr>
                <w:sz w:val="21"/>
                <w:szCs w:val="21"/>
              </w:rPr>
              <w:t>开州环发〔2017〕75号</w:t>
            </w:r>
          </w:p>
        </w:tc>
      </w:tr>
      <w:tr w14:paraId="7EB83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0" w:type="dxa"/>
            <w:noWrap w:val="0"/>
            <w:vAlign w:val="center"/>
          </w:tcPr>
          <w:p w14:paraId="63A4CBEC">
            <w:pPr>
              <w:pStyle w:val="23"/>
              <w:keepNext w:val="0"/>
              <w:keepLines w:val="0"/>
              <w:pageBreakBefore w:val="0"/>
              <w:widowControl w:val="0"/>
              <w:kinsoku/>
              <w:wordWrap/>
              <w:overflowPunct/>
              <w:topLinePunct w:val="0"/>
              <w:autoSpaceDE/>
              <w:autoSpaceDN/>
              <w:bidi w:val="0"/>
              <w:adjustRightInd w:val="0"/>
              <w:snapToGrid/>
              <w:spacing w:line="300" w:lineRule="exact"/>
              <w:ind w:firstLine="0"/>
              <w:textAlignment w:val="auto"/>
              <w:rPr>
                <w:sz w:val="21"/>
                <w:szCs w:val="21"/>
              </w:rPr>
            </w:pPr>
            <w:r>
              <w:rPr>
                <w:sz w:val="21"/>
                <w:szCs w:val="21"/>
              </w:rPr>
              <w:t>4</w:t>
            </w:r>
          </w:p>
        </w:tc>
        <w:tc>
          <w:tcPr>
            <w:tcW w:w="5596" w:type="dxa"/>
            <w:noWrap w:val="0"/>
            <w:vAlign w:val="center"/>
          </w:tcPr>
          <w:p w14:paraId="42D3E3EB">
            <w:pPr>
              <w:pStyle w:val="23"/>
              <w:keepNext w:val="0"/>
              <w:keepLines w:val="0"/>
              <w:pageBreakBefore w:val="0"/>
              <w:widowControl w:val="0"/>
              <w:kinsoku/>
              <w:wordWrap/>
              <w:overflowPunct/>
              <w:topLinePunct w:val="0"/>
              <w:autoSpaceDE/>
              <w:autoSpaceDN/>
              <w:bidi w:val="0"/>
              <w:adjustRightInd w:val="0"/>
              <w:snapToGrid/>
              <w:spacing w:line="300" w:lineRule="exact"/>
              <w:ind w:firstLine="0"/>
              <w:jc w:val="both"/>
              <w:textAlignment w:val="auto"/>
              <w:rPr>
                <w:sz w:val="21"/>
                <w:szCs w:val="21"/>
              </w:rPr>
            </w:pPr>
            <w:r>
              <w:rPr>
                <w:rFonts w:hAnsi="宋体"/>
                <w:sz w:val="21"/>
                <w:szCs w:val="21"/>
              </w:rPr>
              <w:t>重庆市</w:t>
            </w:r>
            <w:r>
              <w:rPr>
                <w:rFonts w:hint="eastAsia" w:hAnsi="宋体"/>
                <w:sz w:val="21"/>
                <w:szCs w:val="21"/>
                <w:lang w:eastAsia="zh-CN"/>
              </w:rPr>
              <w:t>开州区五通乡老林沟饮用水源地</w:t>
            </w:r>
            <w:r>
              <w:rPr>
                <w:rFonts w:hAnsi="宋体"/>
                <w:sz w:val="21"/>
                <w:szCs w:val="21"/>
              </w:rPr>
              <w:t>标示标牌相关情况</w:t>
            </w:r>
          </w:p>
        </w:tc>
        <w:tc>
          <w:tcPr>
            <w:tcW w:w="2449" w:type="dxa"/>
            <w:noWrap w:val="0"/>
            <w:vAlign w:val="center"/>
          </w:tcPr>
          <w:p w14:paraId="7F52F0E3">
            <w:pPr>
              <w:pStyle w:val="23"/>
              <w:keepNext w:val="0"/>
              <w:keepLines w:val="0"/>
              <w:pageBreakBefore w:val="0"/>
              <w:widowControl w:val="0"/>
              <w:kinsoku/>
              <w:wordWrap/>
              <w:overflowPunct/>
              <w:topLinePunct w:val="0"/>
              <w:autoSpaceDE/>
              <w:autoSpaceDN/>
              <w:bidi w:val="0"/>
              <w:adjustRightInd w:val="0"/>
              <w:snapToGrid/>
              <w:spacing w:line="300" w:lineRule="exact"/>
              <w:ind w:firstLine="0"/>
              <w:textAlignment w:val="auto"/>
              <w:rPr>
                <w:sz w:val="21"/>
                <w:szCs w:val="21"/>
              </w:rPr>
            </w:pPr>
            <w:r>
              <w:rPr>
                <w:rFonts w:hAnsi="宋体"/>
                <w:sz w:val="21"/>
                <w:szCs w:val="21"/>
              </w:rPr>
              <w:t>标示标牌</w:t>
            </w:r>
          </w:p>
        </w:tc>
      </w:tr>
      <w:tr w14:paraId="3A149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0" w:type="dxa"/>
            <w:noWrap w:val="0"/>
            <w:vAlign w:val="center"/>
          </w:tcPr>
          <w:p w14:paraId="4A217C2C">
            <w:pPr>
              <w:pStyle w:val="23"/>
              <w:keepNext w:val="0"/>
              <w:keepLines w:val="0"/>
              <w:pageBreakBefore w:val="0"/>
              <w:widowControl w:val="0"/>
              <w:kinsoku/>
              <w:wordWrap/>
              <w:overflowPunct/>
              <w:topLinePunct w:val="0"/>
              <w:autoSpaceDE/>
              <w:autoSpaceDN/>
              <w:bidi w:val="0"/>
              <w:adjustRightInd w:val="0"/>
              <w:snapToGrid/>
              <w:spacing w:line="300" w:lineRule="exact"/>
              <w:ind w:firstLine="0"/>
              <w:textAlignment w:val="auto"/>
              <w:rPr>
                <w:sz w:val="21"/>
                <w:szCs w:val="21"/>
              </w:rPr>
            </w:pPr>
            <w:r>
              <w:rPr>
                <w:sz w:val="21"/>
                <w:szCs w:val="21"/>
              </w:rPr>
              <w:t>5</w:t>
            </w:r>
          </w:p>
        </w:tc>
        <w:tc>
          <w:tcPr>
            <w:tcW w:w="5596" w:type="dxa"/>
            <w:noWrap w:val="0"/>
            <w:vAlign w:val="center"/>
          </w:tcPr>
          <w:p w14:paraId="3F14ED69">
            <w:pPr>
              <w:pStyle w:val="23"/>
              <w:keepNext w:val="0"/>
              <w:keepLines w:val="0"/>
              <w:pageBreakBefore w:val="0"/>
              <w:widowControl w:val="0"/>
              <w:kinsoku/>
              <w:wordWrap/>
              <w:overflowPunct/>
              <w:topLinePunct w:val="0"/>
              <w:autoSpaceDE/>
              <w:autoSpaceDN/>
              <w:bidi w:val="0"/>
              <w:adjustRightInd w:val="0"/>
              <w:snapToGrid/>
              <w:spacing w:line="300" w:lineRule="exact"/>
              <w:ind w:firstLine="0"/>
              <w:jc w:val="both"/>
              <w:textAlignment w:val="auto"/>
              <w:rPr>
                <w:sz w:val="21"/>
                <w:szCs w:val="21"/>
              </w:rPr>
            </w:pPr>
            <w:r>
              <w:rPr>
                <w:rFonts w:hint="eastAsia" w:hAnsi="宋体"/>
                <w:sz w:val="21"/>
                <w:szCs w:val="21"/>
                <w:lang w:eastAsia="zh-CN"/>
              </w:rPr>
              <w:t>五通乡</w:t>
            </w:r>
            <w:r>
              <w:rPr>
                <w:rFonts w:hAnsi="宋体"/>
                <w:sz w:val="21"/>
                <w:szCs w:val="21"/>
              </w:rPr>
              <w:t>饮用水源保护区巡查记录表</w:t>
            </w:r>
          </w:p>
        </w:tc>
        <w:tc>
          <w:tcPr>
            <w:tcW w:w="2449" w:type="dxa"/>
            <w:noWrap w:val="0"/>
            <w:vAlign w:val="center"/>
          </w:tcPr>
          <w:p w14:paraId="3BC7B12A">
            <w:pPr>
              <w:pStyle w:val="23"/>
              <w:keepNext w:val="0"/>
              <w:keepLines w:val="0"/>
              <w:pageBreakBefore w:val="0"/>
              <w:widowControl w:val="0"/>
              <w:kinsoku/>
              <w:wordWrap/>
              <w:overflowPunct/>
              <w:topLinePunct w:val="0"/>
              <w:autoSpaceDE/>
              <w:autoSpaceDN/>
              <w:bidi w:val="0"/>
              <w:adjustRightInd w:val="0"/>
              <w:snapToGrid/>
              <w:spacing w:line="300" w:lineRule="exact"/>
              <w:ind w:firstLine="0"/>
              <w:textAlignment w:val="auto"/>
              <w:rPr>
                <w:sz w:val="21"/>
                <w:szCs w:val="21"/>
              </w:rPr>
            </w:pPr>
            <w:r>
              <w:rPr>
                <w:rFonts w:hint="eastAsia" w:hAnsi="宋体"/>
                <w:sz w:val="21"/>
                <w:szCs w:val="21"/>
                <w:lang w:eastAsia="zh-CN"/>
              </w:rPr>
              <w:t>五通乡</w:t>
            </w:r>
            <w:r>
              <w:rPr>
                <w:rFonts w:hint="eastAsia" w:hAnsi="宋体"/>
                <w:sz w:val="21"/>
                <w:szCs w:val="21"/>
              </w:rPr>
              <w:t>政府</w:t>
            </w:r>
          </w:p>
        </w:tc>
      </w:tr>
      <w:tr w14:paraId="23B9C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0" w:type="dxa"/>
            <w:noWrap w:val="0"/>
            <w:vAlign w:val="center"/>
          </w:tcPr>
          <w:p w14:paraId="00F1A2DF">
            <w:pPr>
              <w:pStyle w:val="23"/>
              <w:keepNext w:val="0"/>
              <w:keepLines w:val="0"/>
              <w:pageBreakBefore w:val="0"/>
              <w:widowControl w:val="0"/>
              <w:kinsoku/>
              <w:wordWrap/>
              <w:overflowPunct/>
              <w:topLinePunct w:val="0"/>
              <w:autoSpaceDE/>
              <w:autoSpaceDN/>
              <w:bidi w:val="0"/>
              <w:adjustRightInd w:val="0"/>
              <w:snapToGrid/>
              <w:spacing w:line="300" w:lineRule="exact"/>
              <w:ind w:firstLine="0"/>
              <w:textAlignment w:val="auto"/>
              <w:rPr>
                <w:sz w:val="21"/>
                <w:szCs w:val="21"/>
              </w:rPr>
            </w:pPr>
            <w:r>
              <w:rPr>
                <w:sz w:val="21"/>
                <w:szCs w:val="21"/>
              </w:rPr>
              <w:t>6</w:t>
            </w:r>
          </w:p>
        </w:tc>
        <w:tc>
          <w:tcPr>
            <w:tcW w:w="5596" w:type="dxa"/>
            <w:noWrap w:val="0"/>
            <w:vAlign w:val="center"/>
          </w:tcPr>
          <w:p w14:paraId="4F82AEF2">
            <w:pPr>
              <w:pStyle w:val="23"/>
              <w:keepNext w:val="0"/>
              <w:keepLines w:val="0"/>
              <w:pageBreakBefore w:val="0"/>
              <w:widowControl w:val="0"/>
              <w:kinsoku/>
              <w:wordWrap/>
              <w:overflowPunct/>
              <w:topLinePunct w:val="0"/>
              <w:autoSpaceDE/>
              <w:autoSpaceDN/>
              <w:bidi w:val="0"/>
              <w:adjustRightInd w:val="0"/>
              <w:snapToGrid/>
              <w:spacing w:line="300" w:lineRule="exact"/>
              <w:ind w:firstLine="0"/>
              <w:jc w:val="both"/>
              <w:textAlignment w:val="auto"/>
              <w:rPr>
                <w:sz w:val="21"/>
                <w:szCs w:val="21"/>
              </w:rPr>
            </w:pPr>
            <w:r>
              <w:rPr>
                <w:rFonts w:hAnsi="宋体"/>
                <w:sz w:val="21"/>
                <w:szCs w:val="21"/>
              </w:rPr>
              <w:t>重庆市</w:t>
            </w:r>
            <w:r>
              <w:rPr>
                <w:rFonts w:hint="eastAsia" w:hAnsi="宋体"/>
                <w:sz w:val="21"/>
                <w:szCs w:val="21"/>
                <w:lang w:eastAsia="zh-CN"/>
              </w:rPr>
              <w:t>五通乡</w:t>
            </w:r>
            <w:r>
              <w:rPr>
                <w:rFonts w:hint="eastAsia" w:hAnsi="宋体"/>
                <w:sz w:val="21"/>
                <w:szCs w:val="21"/>
              </w:rPr>
              <w:t>环保办</w:t>
            </w:r>
            <w:r>
              <w:rPr>
                <w:rFonts w:hAnsi="宋体"/>
                <w:sz w:val="21"/>
                <w:szCs w:val="21"/>
              </w:rPr>
              <w:t>现场监察记录单</w:t>
            </w:r>
          </w:p>
        </w:tc>
        <w:tc>
          <w:tcPr>
            <w:tcW w:w="2449" w:type="dxa"/>
            <w:noWrap w:val="0"/>
            <w:vAlign w:val="center"/>
          </w:tcPr>
          <w:p w14:paraId="717E1F4D">
            <w:pPr>
              <w:pStyle w:val="23"/>
              <w:keepNext w:val="0"/>
              <w:keepLines w:val="0"/>
              <w:pageBreakBefore w:val="0"/>
              <w:widowControl w:val="0"/>
              <w:kinsoku/>
              <w:wordWrap/>
              <w:overflowPunct/>
              <w:topLinePunct w:val="0"/>
              <w:autoSpaceDE/>
              <w:autoSpaceDN/>
              <w:bidi w:val="0"/>
              <w:adjustRightInd w:val="0"/>
              <w:snapToGrid/>
              <w:spacing w:line="300" w:lineRule="exact"/>
              <w:ind w:firstLine="0"/>
              <w:textAlignment w:val="auto"/>
              <w:rPr>
                <w:sz w:val="21"/>
                <w:szCs w:val="21"/>
              </w:rPr>
            </w:pPr>
            <w:r>
              <w:rPr>
                <w:rFonts w:hAnsi="宋体"/>
                <w:sz w:val="21"/>
                <w:szCs w:val="21"/>
              </w:rPr>
              <w:t>水厂巡查记录</w:t>
            </w:r>
          </w:p>
        </w:tc>
      </w:tr>
      <w:tr w14:paraId="0C3D2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0" w:type="dxa"/>
            <w:noWrap w:val="0"/>
            <w:vAlign w:val="center"/>
          </w:tcPr>
          <w:p w14:paraId="5D7927FE">
            <w:pPr>
              <w:pStyle w:val="23"/>
              <w:keepNext w:val="0"/>
              <w:keepLines w:val="0"/>
              <w:pageBreakBefore w:val="0"/>
              <w:widowControl w:val="0"/>
              <w:kinsoku/>
              <w:wordWrap/>
              <w:overflowPunct/>
              <w:topLinePunct w:val="0"/>
              <w:autoSpaceDE/>
              <w:autoSpaceDN/>
              <w:bidi w:val="0"/>
              <w:adjustRightInd w:val="0"/>
              <w:snapToGrid/>
              <w:spacing w:line="300" w:lineRule="exact"/>
              <w:ind w:firstLine="0"/>
              <w:textAlignment w:val="auto"/>
              <w:rPr>
                <w:sz w:val="21"/>
                <w:szCs w:val="21"/>
              </w:rPr>
            </w:pPr>
            <w:r>
              <w:rPr>
                <w:sz w:val="21"/>
                <w:szCs w:val="21"/>
              </w:rPr>
              <w:t>7</w:t>
            </w:r>
          </w:p>
        </w:tc>
        <w:tc>
          <w:tcPr>
            <w:tcW w:w="5596" w:type="dxa"/>
            <w:noWrap w:val="0"/>
            <w:vAlign w:val="center"/>
          </w:tcPr>
          <w:p w14:paraId="7009BA3F">
            <w:pPr>
              <w:pStyle w:val="23"/>
              <w:keepNext w:val="0"/>
              <w:keepLines w:val="0"/>
              <w:pageBreakBefore w:val="0"/>
              <w:widowControl w:val="0"/>
              <w:kinsoku/>
              <w:wordWrap/>
              <w:overflowPunct/>
              <w:topLinePunct w:val="0"/>
              <w:autoSpaceDE/>
              <w:autoSpaceDN/>
              <w:bidi w:val="0"/>
              <w:adjustRightInd w:val="0"/>
              <w:snapToGrid/>
              <w:spacing w:line="300" w:lineRule="exact"/>
              <w:ind w:firstLine="0"/>
              <w:jc w:val="both"/>
              <w:textAlignment w:val="auto"/>
              <w:rPr>
                <w:sz w:val="21"/>
                <w:szCs w:val="21"/>
              </w:rPr>
            </w:pPr>
            <w:r>
              <w:rPr>
                <w:rFonts w:hint="eastAsia" w:hAnsi="宋体"/>
                <w:sz w:val="21"/>
                <w:szCs w:val="21"/>
                <w:lang w:eastAsia="zh-CN"/>
              </w:rPr>
              <w:t>五通乡</w:t>
            </w:r>
            <w:r>
              <w:rPr>
                <w:rFonts w:hAnsi="宋体"/>
                <w:sz w:val="21"/>
                <w:szCs w:val="21"/>
              </w:rPr>
              <w:t>饮用水源保护区巡查记录表</w:t>
            </w:r>
          </w:p>
        </w:tc>
        <w:tc>
          <w:tcPr>
            <w:tcW w:w="2449" w:type="dxa"/>
            <w:noWrap w:val="0"/>
            <w:vAlign w:val="center"/>
          </w:tcPr>
          <w:p w14:paraId="59B8BC39">
            <w:pPr>
              <w:pStyle w:val="23"/>
              <w:keepNext w:val="0"/>
              <w:keepLines w:val="0"/>
              <w:pageBreakBefore w:val="0"/>
              <w:widowControl w:val="0"/>
              <w:kinsoku/>
              <w:wordWrap/>
              <w:overflowPunct/>
              <w:topLinePunct w:val="0"/>
              <w:autoSpaceDE/>
              <w:autoSpaceDN/>
              <w:bidi w:val="0"/>
              <w:adjustRightInd w:val="0"/>
              <w:snapToGrid/>
              <w:spacing w:line="300" w:lineRule="exact"/>
              <w:ind w:firstLine="0"/>
              <w:textAlignment w:val="auto"/>
              <w:rPr>
                <w:sz w:val="21"/>
                <w:szCs w:val="21"/>
              </w:rPr>
            </w:pPr>
            <w:r>
              <w:rPr>
                <w:rFonts w:hAnsi="宋体"/>
                <w:sz w:val="21"/>
                <w:szCs w:val="21"/>
              </w:rPr>
              <w:t>生态环境局巡查记录</w:t>
            </w:r>
          </w:p>
        </w:tc>
      </w:tr>
      <w:tr w14:paraId="31EBE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0" w:type="dxa"/>
            <w:noWrap w:val="0"/>
            <w:vAlign w:val="center"/>
          </w:tcPr>
          <w:p w14:paraId="1D989D0D">
            <w:pPr>
              <w:pStyle w:val="23"/>
              <w:keepNext w:val="0"/>
              <w:keepLines w:val="0"/>
              <w:pageBreakBefore w:val="0"/>
              <w:widowControl w:val="0"/>
              <w:kinsoku/>
              <w:wordWrap/>
              <w:overflowPunct/>
              <w:topLinePunct w:val="0"/>
              <w:autoSpaceDE/>
              <w:autoSpaceDN/>
              <w:bidi w:val="0"/>
              <w:adjustRightInd w:val="0"/>
              <w:snapToGrid/>
              <w:spacing w:line="300" w:lineRule="exact"/>
              <w:ind w:firstLine="0"/>
              <w:textAlignment w:val="auto"/>
              <w:rPr>
                <w:sz w:val="21"/>
                <w:szCs w:val="21"/>
              </w:rPr>
            </w:pPr>
            <w:r>
              <w:rPr>
                <w:sz w:val="21"/>
                <w:szCs w:val="21"/>
              </w:rPr>
              <w:t>8</w:t>
            </w:r>
          </w:p>
        </w:tc>
        <w:tc>
          <w:tcPr>
            <w:tcW w:w="5596" w:type="dxa"/>
            <w:noWrap w:val="0"/>
            <w:vAlign w:val="center"/>
          </w:tcPr>
          <w:p w14:paraId="6984E8F2">
            <w:pPr>
              <w:pStyle w:val="23"/>
              <w:keepNext w:val="0"/>
              <w:keepLines w:val="0"/>
              <w:pageBreakBefore w:val="0"/>
              <w:widowControl w:val="0"/>
              <w:kinsoku/>
              <w:wordWrap/>
              <w:overflowPunct/>
              <w:topLinePunct w:val="0"/>
              <w:autoSpaceDE/>
              <w:autoSpaceDN/>
              <w:bidi w:val="0"/>
              <w:adjustRightInd w:val="0"/>
              <w:snapToGrid/>
              <w:spacing w:line="300" w:lineRule="exact"/>
              <w:ind w:firstLine="0"/>
              <w:jc w:val="both"/>
              <w:textAlignment w:val="auto"/>
              <w:rPr>
                <w:sz w:val="21"/>
                <w:szCs w:val="21"/>
              </w:rPr>
            </w:pPr>
            <w:r>
              <w:rPr>
                <w:rFonts w:hAnsi="宋体"/>
                <w:sz w:val="21"/>
                <w:szCs w:val="21"/>
              </w:rPr>
              <w:t>《</w:t>
            </w:r>
            <w:r>
              <w:rPr>
                <w:rFonts w:hint="eastAsia" w:hAnsi="宋体"/>
                <w:sz w:val="21"/>
                <w:szCs w:val="21"/>
                <w:lang w:eastAsia="zh-CN"/>
              </w:rPr>
              <w:t>五通乡</w:t>
            </w:r>
            <w:r>
              <w:rPr>
                <w:rFonts w:hint="eastAsia" w:hAnsi="宋体"/>
                <w:sz w:val="21"/>
                <w:szCs w:val="21"/>
              </w:rPr>
              <w:t>人民政府</w:t>
            </w:r>
            <w:r>
              <w:rPr>
                <w:rFonts w:hAnsi="宋体"/>
                <w:sz w:val="21"/>
                <w:szCs w:val="21"/>
              </w:rPr>
              <w:t>应急物资明细》</w:t>
            </w:r>
          </w:p>
        </w:tc>
        <w:tc>
          <w:tcPr>
            <w:tcW w:w="2449" w:type="dxa"/>
            <w:noWrap w:val="0"/>
            <w:vAlign w:val="center"/>
          </w:tcPr>
          <w:p w14:paraId="3B883F80">
            <w:pPr>
              <w:pStyle w:val="23"/>
              <w:keepNext w:val="0"/>
              <w:keepLines w:val="0"/>
              <w:pageBreakBefore w:val="0"/>
              <w:widowControl w:val="0"/>
              <w:kinsoku/>
              <w:wordWrap/>
              <w:overflowPunct/>
              <w:topLinePunct w:val="0"/>
              <w:autoSpaceDE/>
              <w:autoSpaceDN/>
              <w:bidi w:val="0"/>
              <w:adjustRightInd w:val="0"/>
              <w:snapToGrid/>
              <w:spacing w:line="300" w:lineRule="exact"/>
              <w:ind w:firstLine="0"/>
              <w:textAlignment w:val="auto"/>
              <w:rPr>
                <w:sz w:val="21"/>
                <w:szCs w:val="21"/>
              </w:rPr>
            </w:pPr>
            <w:r>
              <w:rPr>
                <w:rFonts w:hAnsi="宋体"/>
                <w:sz w:val="21"/>
                <w:szCs w:val="21"/>
              </w:rPr>
              <w:t>水源地应急物质、装备、设备储备清单</w:t>
            </w:r>
          </w:p>
        </w:tc>
      </w:tr>
      <w:tr w14:paraId="2DFE79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0" w:type="dxa"/>
            <w:noWrap w:val="0"/>
            <w:vAlign w:val="center"/>
          </w:tcPr>
          <w:p w14:paraId="7B3F84F2">
            <w:pPr>
              <w:pStyle w:val="23"/>
              <w:keepNext w:val="0"/>
              <w:keepLines w:val="0"/>
              <w:pageBreakBefore w:val="0"/>
              <w:widowControl w:val="0"/>
              <w:kinsoku/>
              <w:wordWrap/>
              <w:overflowPunct/>
              <w:topLinePunct w:val="0"/>
              <w:autoSpaceDE/>
              <w:autoSpaceDN/>
              <w:bidi w:val="0"/>
              <w:adjustRightInd w:val="0"/>
              <w:snapToGrid/>
              <w:spacing w:line="300" w:lineRule="exact"/>
              <w:ind w:firstLine="0"/>
              <w:textAlignment w:val="auto"/>
              <w:rPr>
                <w:sz w:val="21"/>
                <w:szCs w:val="21"/>
              </w:rPr>
            </w:pPr>
            <w:r>
              <w:rPr>
                <w:sz w:val="21"/>
                <w:szCs w:val="21"/>
              </w:rPr>
              <w:t>9</w:t>
            </w:r>
          </w:p>
        </w:tc>
        <w:tc>
          <w:tcPr>
            <w:tcW w:w="5596" w:type="dxa"/>
            <w:noWrap w:val="0"/>
            <w:vAlign w:val="center"/>
          </w:tcPr>
          <w:p w14:paraId="5E28042B">
            <w:pPr>
              <w:pStyle w:val="23"/>
              <w:keepNext w:val="0"/>
              <w:keepLines w:val="0"/>
              <w:pageBreakBefore w:val="0"/>
              <w:widowControl w:val="0"/>
              <w:kinsoku/>
              <w:wordWrap/>
              <w:overflowPunct/>
              <w:topLinePunct w:val="0"/>
              <w:autoSpaceDE/>
              <w:autoSpaceDN/>
              <w:bidi w:val="0"/>
              <w:adjustRightInd w:val="0"/>
              <w:snapToGrid/>
              <w:spacing w:line="300" w:lineRule="exact"/>
              <w:ind w:firstLine="0"/>
              <w:jc w:val="both"/>
              <w:textAlignment w:val="auto"/>
              <w:rPr>
                <w:sz w:val="21"/>
                <w:szCs w:val="21"/>
              </w:rPr>
            </w:pPr>
            <w:r>
              <w:rPr>
                <w:rFonts w:hAnsi="宋体"/>
                <w:sz w:val="21"/>
                <w:szCs w:val="21"/>
              </w:rPr>
              <w:t>重庆市</w:t>
            </w:r>
            <w:r>
              <w:rPr>
                <w:rFonts w:hint="eastAsia" w:hAnsi="宋体"/>
                <w:sz w:val="21"/>
                <w:szCs w:val="21"/>
              </w:rPr>
              <w:t>开州区</w:t>
            </w:r>
            <w:r>
              <w:rPr>
                <w:rFonts w:hAnsi="宋体"/>
                <w:sz w:val="21"/>
                <w:szCs w:val="21"/>
              </w:rPr>
              <w:t>环境应急专家库名单</w:t>
            </w:r>
          </w:p>
        </w:tc>
        <w:tc>
          <w:tcPr>
            <w:tcW w:w="2449" w:type="dxa"/>
            <w:noWrap w:val="0"/>
            <w:vAlign w:val="center"/>
          </w:tcPr>
          <w:p w14:paraId="285D36BA">
            <w:pPr>
              <w:pStyle w:val="23"/>
              <w:keepNext w:val="0"/>
              <w:keepLines w:val="0"/>
              <w:pageBreakBefore w:val="0"/>
              <w:widowControl w:val="0"/>
              <w:kinsoku/>
              <w:wordWrap/>
              <w:overflowPunct/>
              <w:topLinePunct w:val="0"/>
              <w:autoSpaceDE/>
              <w:autoSpaceDN/>
              <w:bidi w:val="0"/>
              <w:adjustRightInd w:val="0"/>
              <w:snapToGrid/>
              <w:spacing w:line="300" w:lineRule="exact"/>
              <w:ind w:firstLine="0"/>
              <w:textAlignment w:val="auto"/>
              <w:rPr>
                <w:sz w:val="21"/>
                <w:szCs w:val="21"/>
              </w:rPr>
            </w:pPr>
          </w:p>
        </w:tc>
      </w:tr>
    </w:tbl>
    <w:p w14:paraId="348AE2F0">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32" w:name="_Toc8217"/>
      <w:bookmarkStart w:id="33" w:name="_Toc17472"/>
      <w:r>
        <w:rPr>
          <w:rFonts w:hint="eastAsia" w:ascii="宋体" w:hAnsi="宋体" w:eastAsia="宋体" w:cs="宋体"/>
          <w:b/>
          <w:bCs/>
          <w:color w:val="000000"/>
          <w:sz w:val="28"/>
          <w:szCs w:val="28"/>
          <w:lang w:val="en-US" w:eastAsia="zh-CN"/>
        </w:rPr>
        <w:t>2.4 水源地环境风险</w:t>
      </w:r>
      <w:bookmarkEnd w:id="32"/>
      <w:bookmarkEnd w:id="33"/>
    </w:p>
    <w:p w14:paraId="51E3763F">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val="en-US" w:eastAsia="zh-CN"/>
        </w:rPr>
        <w:t>2.4</w:t>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t>固定源</w:t>
      </w:r>
    </w:p>
    <w:p w14:paraId="08D7E51D">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开州区五通乡老林沟水源地一、二级保护区内均无固定风险源，且无涉及水源地上游连接水体及周边汇水区域风险物质生产、加工、使用、储存和运输的企业、向环境排放污染物的企业、加油站加气站、污水处理厂等存在。</w:t>
      </w:r>
    </w:p>
    <w:p w14:paraId="74EBAFC2">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方正仿宋_GBK" w:hAnsi="方正仿宋_GBK" w:eastAsia="方正仿宋_GBK" w:cs="方正仿宋_GBK"/>
          <w:color w:val="000000"/>
          <w:sz w:val="32"/>
          <w:szCs w:val="32"/>
          <w:lang w:eastAsia="zh-CN"/>
        </w:rPr>
      </w:pPr>
      <w:r>
        <w:rPr>
          <w:rFonts w:hint="eastAsia" w:ascii="宋体" w:hAnsi="宋体" w:eastAsia="宋体" w:cs="宋体"/>
          <w:color w:val="auto"/>
          <w:sz w:val="28"/>
          <w:szCs w:val="28"/>
          <w:lang w:val="en-US" w:eastAsia="zh-CN"/>
        </w:rPr>
        <w:t>综上，五通乡开州区五通乡老林沟水源地无固定污染源存在。</w:t>
      </w:r>
    </w:p>
    <w:p w14:paraId="00DA4B88">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val="en-US" w:eastAsia="zh-CN"/>
        </w:rPr>
        <w:t>2.4.</w:t>
      </w:r>
      <w:r>
        <w:rPr>
          <w:rFonts w:hint="eastAsia" w:asciiTheme="minorEastAsia" w:hAnsiTheme="minorEastAsia" w:eastAsiaTheme="minorEastAsia" w:cstheme="minorEastAsia"/>
          <w:sz w:val="28"/>
          <w:szCs w:val="28"/>
          <w:lang w:eastAsia="zh-CN"/>
        </w:rPr>
        <w:t>2</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t>流动源</w:t>
      </w:r>
    </w:p>
    <w:p w14:paraId="368E6C89">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（1）陆路运输</w:t>
      </w:r>
    </w:p>
    <w:p w14:paraId="7906B041">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据调查，开州区五通乡老林沟水源地保护区边界向上游连接水体及周边汇水区域上溯24小时流程范围内的水域及分水岭内的陆域范围只有乡村公路，无危险化学品专用运输道路。</w:t>
      </w:r>
    </w:p>
    <w:p w14:paraId="18505690">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（2）水路运输</w:t>
      </w:r>
    </w:p>
    <w:p w14:paraId="2722C6E1">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饮用水源地保护区及汇水区域不涉及水路运输。</w:t>
      </w:r>
    </w:p>
    <w:p w14:paraId="73427C2A">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val="en-US" w:eastAsia="zh-CN"/>
        </w:rPr>
        <w:t>2.4</w:t>
      </w:r>
      <w:r>
        <w:rPr>
          <w:rFonts w:hint="eastAsia" w:asciiTheme="minorEastAsia" w:hAnsiTheme="minorEastAsia" w:eastAsiaTheme="minorEastAsia" w:cstheme="minorEastAsia"/>
          <w:sz w:val="28"/>
          <w:szCs w:val="28"/>
          <w:lang w:eastAsia="zh-CN"/>
        </w:rPr>
        <w:t>.3</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t>非点源</w:t>
      </w:r>
    </w:p>
    <w:p w14:paraId="0C8FB7FA">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周边居民居住比较分散，无集中的污水收集及处理设施，生活污水进入居民自家粪池后用于农业施肥。水源地保护区范围内偶有生活垃圾乱扔现象。</w:t>
      </w:r>
    </w:p>
    <w:p w14:paraId="07B5C95D">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评估范围内耕地主要用于种植水稻、玉米、蔬菜、果树等农作物；评估范围内无规模化和专业户畜禽养殖，存在居民小单元养殖。</w:t>
      </w:r>
    </w:p>
    <w:p w14:paraId="44DEDFA8">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综上，整体来看，五通乡老林沟饮用水源环境风险较小。</w:t>
      </w:r>
    </w:p>
    <w:p w14:paraId="0DA2ACC5">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br w:type="page"/>
      </w:r>
    </w:p>
    <w:p w14:paraId="15F4CF59">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Fonts w:hint="eastAsia" w:ascii="宋体" w:hAnsi="宋体" w:eastAsia="宋体" w:cs="宋体"/>
          <w:b/>
          <w:bCs/>
          <w:color w:val="auto"/>
          <w:kern w:val="2"/>
          <w:sz w:val="32"/>
          <w:szCs w:val="32"/>
          <w:lang w:val="en-US" w:eastAsia="zh-CN" w:bidi="ar-SA"/>
        </w:rPr>
      </w:pPr>
      <w:bookmarkStart w:id="34" w:name="_Toc21990"/>
      <w:bookmarkStart w:id="35" w:name="_Toc1557"/>
      <w:bookmarkStart w:id="36" w:name="_Toc7962"/>
      <w:r>
        <w:rPr>
          <w:rFonts w:hint="eastAsia" w:ascii="宋体" w:hAnsi="宋体" w:eastAsia="宋体" w:cs="宋体"/>
          <w:b/>
          <w:bCs/>
          <w:color w:val="auto"/>
          <w:kern w:val="2"/>
          <w:sz w:val="32"/>
          <w:szCs w:val="32"/>
          <w:lang w:val="en-US" w:eastAsia="zh-CN" w:bidi="ar-SA"/>
        </w:rPr>
        <w:t>3 应急组织机构体系及职责</w:t>
      </w:r>
      <w:bookmarkEnd w:id="34"/>
      <w:bookmarkEnd w:id="35"/>
      <w:bookmarkEnd w:id="36"/>
    </w:p>
    <w:p w14:paraId="3ADA1FA3">
      <w:pPr>
        <w:keepNext/>
        <w:keepLines/>
        <w:pageBreakBefore w:val="0"/>
        <w:widowControl w:val="0"/>
        <w:kinsoku/>
        <w:wordWrap/>
        <w:overflowPunct/>
        <w:topLinePunct w:val="0"/>
        <w:autoSpaceDE/>
        <w:autoSpaceDN/>
        <w:bidi w:val="0"/>
        <w:adjustRightInd/>
        <w:snapToGrid/>
        <w:spacing w:before="0" w:beforeLines="0" w:after="0" w:afterLines="0" w:line="360" w:lineRule="auto"/>
        <w:ind w:left="0"/>
        <w:jc w:val="left"/>
        <w:textAlignment w:val="auto"/>
        <w:outlineLvl w:val="1"/>
        <w:rPr>
          <w:rFonts w:hint="eastAsia" w:ascii="宋体" w:hAnsi="宋体" w:eastAsia="宋体" w:cs="宋体"/>
          <w:b/>
          <w:bCs/>
          <w:color w:val="auto"/>
          <w:kern w:val="2"/>
          <w:sz w:val="32"/>
          <w:szCs w:val="32"/>
          <w:lang w:val="en-US" w:eastAsia="zh-CN" w:bidi="ar-SA"/>
        </w:rPr>
      </w:pPr>
      <w:bookmarkStart w:id="37" w:name="_Toc21399"/>
      <w:bookmarkStart w:id="38" w:name="_Toc20276"/>
      <w:bookmarkStart w:id="39" w:name="_Toc3034"/>
      <w:r>
        <w:rPr>
          <w:rFonts w:hint="eastAsia" w:ascii="宋体" w:hAnsi="宋体" w:eastAsia="宋体" w:cs="宋体"/>
          <w:b/>
          <w:bCs/>
          <w:color w:val="auto"/>
          <w:kern w:val="2"/>
          <w:sz w:val="32"/>
          <w:szCs w:val="32"/>
          <w:lang w:val="en-US" w:eastAsia="zh-CN" w:bidi="ar-SA"/>
        </w:rPr>
        <w:t>3.1 应急组织机构</w:t>
      </w:r>
      <w:bookmarkEnd w:id="37"/>
      <w:bookmarkEnd w:id="38"/>
      <w:bookmarkEnd w:id="39"/>
    </w:p>
    <w:p w14:paraId="34BEC932">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五通乡是负责重庆市开州区五通乡突发环境事件应急管理工作的行政领导机关。根据工作需要，成立五通乡应急领导小组（以下简称“应急领导小组”），统一领导重庆市开州区五通乡突发环境事件应对工作，对重庆市开州区五通乡突发环境事件的应急管理、应急处置和灾后重建工作的实施领导，负责统一指挥突发环境事件应急处置工作。</w:t>
      </w:r>
    </w:p>
    <w:p w14:paraId="5F602325">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应急总指挥由五通乡党委书记担任，副总指挥由五通乡党委副书记、乡长担任，成员由五通乡党委副书记、政法委员、五通乡党委委员、副乡长等和各相关部门负责人及各社区、村负责人担任。应急领导小组下设突发环境事件应急办公室（以下简称“应急办公室”），应急办公室设在五通乡产业发展中心，由产业发展中心主任兼任应急办主任，产业发展中心从事应急工作的相关同志为办公室成员。</w:t>
      </w:r>
      <w:bookmarkStart w:id="40" w:name="_Toc26095"/>
    </w:p>
    <w:p w14:paraId="65B85EBB">
      <w:pPr>
        <w:keepNext/>
        <w:keepLines/>
        <w:pageBreakBefore w:val="0"/>
        <w:widowControl w:val="0"/>
        <w:kinsoku/>
        <w:wordWrap/>
        <w:overflowPunct/>
        <w:topLinePunct w:val="0"/>
        <w:autoSpaceDE/>
        <w:autoSpaceDN/>
        <w:bidi w:val="0"/>
        <w:adjustRightInd/>
        <w:snapToGrid/>
        <w:spacing w:before="0" w:beforeLines="0" w:after="0" w:afterLines="0" w:line="360" w:lineRule="auto"/>
        <w:ind w:left="0"/>
        <w:jc w:val="left"/>
        <w:textAlignment w:val="auto"/>
        <w:outlineLvl w:val="1"/>
        <w:rPr>
          <w:rFonts w:hint="default" w:ascii="宋体" w:hAnsi="宋体" w:eastAsia="宋体" w:cs="宋体"/>
          <w:b/>
          <w:bCs/>
          <w:color w:val="auto"/>
          <w:kern w:val="2"/>
          <w:sz w:val="32"/>
          <w:szCs w:val="32"/>
          <w:lang w:val="en-US" w:eastAsia="zh-CN" w:bidi="ar-SA"/>
        </w:rPr>
      </w:pPr>
      <w:bookmarkStart w:id="41" w:name="_Toc15216"/>
      <w:bookmarkStart w:id="42" w:name="_Toc26975"/>
      <w:r>
        <w:rPr>
          <w:rFonts w:hint="eastAsia" w:ascii="宋体" w:hAnsi="宋体" w:eastAsia="宋体" w:cs="宋体"/>
          <w:b/>
          <w:bCs/>
          <w:color w:val="auto"/>
          <w:kern w:val="2"/>
          <w:sz w:val="32"/>
          <w:szCs w:val="32"/>
          <w:lang w:val="en-US" w:eastAsia="zh-CN" w:bidi="ar-SA"/>
        </w:rPr>
        <w:t>3.2 应急工作机构及职责</w:t>
      </w:r>
      <w:bookmarkEnd w:id="40"/>
      <w:bookmarkEnd w:id="41"/>
      <w:bookmarkEnd w:id="42"/>
    </w:p>
    <w:p w14:paraId="18F9A3E6">
      <w:pPr>
        <w:keepNext w:val="0"/>
        <w:keepLines w:val="0"/>
        <w:pageBreakBefore w:val="0"/>
        <w:widowControl w:val="0"/>
        <w:kinsoku/>
        <w:wordWrap/>
        <w:overflowPunct/>
        <w:topLinePunct w:val="0"/>
        <w:autoSpaceDE/>
        <w:autoSpaceDN/>
        <w:bidi w:val="0"/>
        <w:adjustRightInd/>
        <w:snapToGrid/>
        <w:spacing w:line="360" w:lineRule="auto"/>
        <w:ind w:left="0" w:firstLine="562" w:firstLineChars="200"/>
        <w:textAlignment w:val="auto"/>
        <w:outlineLvl w:val="2"/>
        <w:rPr>
          <w:rFonts w:hint="eastAsia" w:ascii="宋体" w:hAnsi="宋体" w:eastAsia="宋体" w:cs="宋体"/>
          <w:b/>
          <w:bCs/>
          <w:color w:val="auto"/>
          <w:kern w:val="2"/>
          <w:sz w:val="28"/>
          <w:szCs w:val="28"/>
          <w:lang w:val="en-US" w:eastAsia="zh-CN" w:bidi="ar-SA"/>
        </w:rPr>
      </w:pPr>
      <w:r>
        <w:rPr>
          <w:rFonts w:hint="eastAsia" w:ascii="宋体" w:hAnsi="宋体" w:eastAsia="宋体" w:cs="宋体"/>
          <w:b/>
          <w:bCs/>
          <w:color w:val="auto"/>
          <w:kern w:val="2"/>
          <w:sz w:val="28"/>
          <w:szCs w:val="28"/>
          <w:lang w:val="en-US" w:eastAsia="zh-CN" w:bidi="ar-SA"/>
        </w:rPr>
        <w:t>3.2.1 应急指挥部体系</w:t>
      </w:r>
    </w:p>
    <w:p w14:paraId="28389D56">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发生突发环境事件时，应急领导小组自动转换为突发环境事件应急指挥部（以下简称“应急指挥部”），应急指挥部为突发环境事件现场应急指挥机构，应急领导小组组长自动转换为应急总指挥，副组长转换为副总指挥。</w:t>
      </w:r>
    </w:p>
    <w:p w14:paraId="36D81D93">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应急指挥部按照职责分工和协同联动工作需要；下设3个应急工作组：现场处置组、综合协调组、警戒疏散组，开展突发环境事件及其次生、衍生灾害的应急处置工作。应急工作体系图见图3</w:t>
      </w:r>
      <w:r>
        <w:rPr>
          <w:rFonts w:hint="default" w:ascii="宋体" w:hAnsi="宋体" w:eastAsia="宋体" w:cs="宋体"/>
          <w:color w:val="auto"/>
          <w:sz w:val="28"/>
          <w:szCs w:val="28"/>
          <w:lang w:val="en-US" w:eastAsia="zh-CN"/>
        </w:rPr>
        <w:t>-</w:t>
      </w:r>
      <w:r>
        <w:rPr>
          <w:rFonts w:hint="eastAsia" w:ascii="宋体" w:hAnsi="宋体" w:eastAsia="宋体" w:cs="宋体"/>
          <w:color w:val="auto"/>
          <w:sz w:val="28"/>
          <w:szCs w:val="28"/>
          <w:lang w:val="en-US" w:eastAsia="zh-CN"/>
        </w:rPr>
        <w:t>2。</w:t>
      </w:r>
    </w:p>
    <w:p w14:paraId="0DDBFDBF">
      <w:pPr>
        <w:pageBreakBefore w:val="0"/>
        <w:kinsoku/>
        <w:wordWrap/>
        <w:overflowPunct/>
        <w:topLinePunct w:val="0"/>
        <w:bidi w:val="0"/>
        <w:spacing w:before="0" w:beforeLines="0" w:after="0" w:afterLines="0"/>
        <w:ind w:left="0"/>
        <w:jc w:val="center"/>
        <w:textAlignment w:val="auto"/>
        <w:outlineLvl w:val="9"/>
        <w:rPr>
          <w:rFonts w:hint="eastAsia" w:ascii="宋体" w:hAnsi="宋体" w:eastAsia="宋体" w:cs="宋体"/>
          <w:b/>
          <w:bCs/>
          <w:color w:val="auto"/>
          <w:sz w:val="24"/>
          <w:szCs w:val="24"/>
          <w:lang w:val="en-US" w:eastAsia="zh-CN"/>
        </w:rPr>
      </w:pPr>
      <w:r>
        <w:rPr>
          <w:color w:val="auto"/>
          <w:sz w:val="24"/>
        </w:rPr>
        <mc:AlternateContent>
          <mc:Choice Requires="wpg">
            <w:drawing>
              <wp:anchor distT="0" distB="0" distL="114300" distR="114300" simplePos="0" relativeHeight="251674624" behindDoc="0" locked="0" layoutInCell="1" allowOverlap="1">
                <wp:simplePos x="0" y="0"/>
                <wp:positionH relativeFrom="column">
                  <wp:posOffset>1156970</wp:posOffset>
                </wp:positionH>
                <wp:positionV relativeFrom="paragraph">
                  <wp:posOffset>69215</wp:posOffset>
                </wp:positionV>
                <wp:extent cx="2799715" cy="2386330"/>
                <wp:effectExtent l="4445" t="4445" r="15240" b="9525"/>
                <wp:wrapTopAndBottom/>
                <wp:docPr id="66" name="组合 66"/>
                <wp:cNvGraphicFramePr/>
                <a:graphic xmlns:a="http://schemas.openxmlformats.org/drawingml/2006/main">
                  <a:graphicData uri="http://schemas.microsoft.com/office/word/2010/wordprocessingGroup">
                    <wpg:wgp>
                      <wpg:cNvGrpSpPr/>
                      <wpg:grpSpPr>
                        <a:xfrm>
                          <a:off x="0" y="0"/>
                          <a:ext cx="2799715" cy="2386330"/>
                          <a:chOff x="7345" y="244510"/>
                          <a:chExt cx="4409" cy="3758"/>
                        </a:xfrm>
                        <a:effectLst/>
                      </wpg:grpSpPr>
                      <wps:wsp>
                        <wps:cNvPr id="65" name="矩形 55"/>
                        <wps:cNvSpPr/>
                        <wps:spPr>
                          <a:xfrm>
                            <a:off x="8728" y="244510"/>
                            <a:ext cx="1763" cy="727"/>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D213D32">
                              <w:pPr>
                                <w:jc w:val="center"/>
                                <w:rPr>
                                  <w:rFonts w:hint="eastAsia" w:eastAsia="宋体"/>
                                  <w:sz w:val="28"/>
                                  <w:szCs w:val="28"/>
                                  <w:lang w:eastAsia="zh-CN"/>
                                </w:rPr>
                              </w:pPr>
                              <w:r>
                                <w:rPr>
                                  <w:rFonts w:hint="eastAsia"/>
                                  <w:sz w:val="28"/>
                                  <w:szCs w:val="28"/>
                                  <w:lang w:eastAsia="zh-CN"/>
                                </w:rPr>
                                <w:t>应急指挥部</w:t>
                              </w:r>
                            </w:p>
                          </w:txbxContent>
                        </wps:txbx>
                        <wps:bodyPr upright="1"/>
                      </wps:wsp>
                      <wps:wsp>
                        <wps:cNvPr id="67" name="矩形 57"/>
                        <wps:cNvSpPr/>
                        <wps:spPr>
                          <a:xfrm>
                            <a:off x="9347" y="246566"/>
                            <a:ext cx="569" cy="1702"/>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5973192">
                              <w:pPr>
                                <w:rPr>
                                  <w:rFonts w:hint="eastAsia" w:eastAsia="宋体" w:cs="Times New Roman"/>
                                  <w:sz w:val="24"/>
                                  <w:szCs w:val="24"/>
                                  <w:lang w:eastAsia="zh-CN"/>
                                </w:rPr>
                              </w:pPr>
                              <w:r>
                                <w:rPr>
                                  <w:rFonts w:hint="eastAsia" w:eastAsia="宋体" w:cs="Times New Roman"/>
                                  <w:sz w:val="24"/>
                                  <w:szCs w:val="24"/>
                                  <w:lang w:eastAsia="zh-CN"/>
                                </w:rPr>
                                <w:t>综合协调组</w:t>
                              </w:r>
                            </w:p>
                          </w:txbxContent>
                        </wps:txbx>
                        <wps:bodyPr upright="1"/>
                      </wps:wsp>
                      <wps:wsp>
                        <wps:cNvPr id="68" name="矩形 58"/>
                        <wps:cNvSpPr/>
                        <wps:spPr>
                          <a:xfrm>
                            <a:off x="11185" y="246566"/>
                            <a:ext cx="569" cy="1702"/>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9FD1676">
                              <w:pPr>
                                <w:rPr>
                                  <w:rFonts w:hint="eastAsia" w:eastAsia="宋体"/>
                                  <w:sz w:val="24"/>
                                  <w:szCs w:val="24"/>
                                  <w:lang w:eastAsia="zh-CN"/>
                                </w:rPr>
                              </w:pPr>
                              <w:r>
                                <w:rPr>
                                  <w:rFonts w:hint="eastAsia"/>
                                  <w:sz w:val="24"/>
                                  <w:szCs w:val="24"/>
                                  <w:lang w:eastAsia="zh-CN"/>
                                </w:rPr>
                                <w:t>警戒疏散组</w:t>
                              </w:r>
                            </w:p>
                            <w:p w14:paraId="5C647FD6">
                              <w:pPr>
                                <w:rPr>
                                  <w:rFonts w:hint="eastAsia"/>
                                  <w:lang w:eastAsia="zh-CN"/>
                                </w:rPr>
                              </w:pPr>
                            </w:p>
                          </w:txbxContent>
                        </wps:txbx>
                        <wps:bodyPr upright="1"/>
                      </wps:wsp>
                      <wps:wsp>
                        <wps:cNvPr id="69" name="矩形 59"/>
                        <wps:cNvSpPr/>
                        <wps:spPr>
                          <a:xfrm>
                            <a:off x="7345" y="246566"/>
                            <a:ext cx="569" cy="1702"/>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792D1AD">
                              <w:pPr>
                                <w:rPr>
                                  <w:rFonts w:hint="eastAsia" w:eastAsia="宋体"/>
                                  <w:sz w:val="24"/>
                                  <w:szCs w:val="24"/>
                                  <w:lang w:eastAsia="zh-CN"/>
                                </w:rPr>
                              </w:pPr>
                              <w:r>
                                <w:rPr>
                                  <w:rFonts w:hint="eastAsia"/>
                                  <w:sz w:val="24"/>
                                  <w:szCs w:val="24"/>
                                  <w:lang w:val="en-US" w:eastAsia="zh-CN"/>
                                </w:rPr>
                                <w:t>现场</w:t>
                              </w:r>
                              <w:r>
                                <w:rPr>
                                  <w:rFonts w:hint="eastAsia"/>
                                  <w:sz w:val="24"/>
                                  <w:szCs w:val="24"/>
                                  <w:lang w:eastAsia="zh-CN"/>
                                </w:rPr>
                                <w:t>处置组</w:t>
                              </w:r>
                            </w:p>
                          </w:txbxContent>
                        </wps:txbx>
                        <wps:bodyPr upright="1"/>
                      </wps:wsp>
                      <wps:wsp>
                        <wps:cNvPr id="70" name="肘形连接符 61"/>
                        <wps:cNvCnPr>
                          <a:stCxn id="65" idx="2"/>
                          <a:endCxn id="69" idx="0"/>
                        </wps:cNvCnPr>
                        <wps:spPr>
                          <a:xfrm rot="5400000">
                            <a:off x="7951" y="244907"/>
                            <a:ext cx="1329" cy="1980"/>
                          </a:xfrm>
                          <a:prstGeom prst="bentConnector3">
                            <a:avLst>
                              <a:gd name="adj1" fmla="val 50000"/>
                            </a:avLst>
                          </a:prstGeom>
                          <a:ln w="9525" cap="flat" cmpd="sng">
                            <a:solidFill>
                              <a:srgbClr val="000000"/>
                            </a:solidFill>
                            <a:prstDash val="solid"/>
                            <a:miter/>
                            <a:headEnd type="none" w="med" len="med"/>
                            <a:tailEnd type="arrow" w="med" len="med"/>
                          </a:ln>
                          <a:effectLst/>
                        </wps:spPr>
                        <wps:bodyPr/>
                      </wps:wsp>
                      <wps:wsp>
                        <wps:cNvPr id="71" name="肘形连接符 62"/>
                        <wps:cNvCnPr>
                          <a:stCxn id="65" idx="2"/>
                          <a:endCxn id="68" idx="0"/>
                        </wps:cNvCnPr>
                        <wps:spPr>
                          <a:xfrm rot="5400000" flipV="1">
                            <a:off x="9871" y="244967"/>
                            <a:ext cx="1329" cy="1860"/>
                          </a:xfrm>
                          <a:prstGeom prst="bentConnector3">
                            <a:avLst>
                              <a:gd name="adj1" fmla="val 50000"/>
                            </a:avLst>
                          </a:prstGeom>
                          <a:ln w="9525" cap="flat" cmpd="sng">
                            <a:solidFill>
                              <a:srgbClr val="000000"/>
                            </a:solidFill>
                            <a:prstDash val="solid"/>
                            <a:miter/>
                            <a:headEnd type="none" w="med" len="med"/>
                            <a:tailEnd type="arrow" w="med" len="med"/>
                          </a:ln>
                          <a:effectLst/>
                        </wps:spPr>
                        <wps:bodyPr/>
                      </wps:wsp>
                      <wps:wsp>
                        <wps:cNvPr id="72" name="直接连接符 63"/>
                        <wps:cNvCnPr/>
                        <wps:spPr>
                          <a:xfrm>
                            <a:off x="9596" y="245886"/>
                            <a:ext cx="10" cy="675"/>
                          </a:xfrm>
                          <a:prstGeom prst="line">
                            <a:avLst/>
                          </a:prstGeom>
                          <a:ln w="9525" cap="flat" cmpd="sng">
                            <a:solidFill>
                              <a:srgbClr val="000000"/>
                            </a:solidFill>
                            <a:prstDash val="solid"/>
                            <a:headEnd type="none" w="med" len="med"/>
                            <a:tailEnd type="arrow" w="med" len="med"/>
                          </a:ln>
                          <a:effectLst/>
                        </wps:spPr>
                        <wps:bodyPr upright="1"/>
                      </wps:wsp>
                    </wpg:wgp>
                  </a:graphicData>
                </a:graphic>
              </wp:anchor>
            </w:drawing>
          </mc:Choice>
          <mc:Fallback>
            <w:pict>
              <v:group id="_x0000_s1026" o:spid="_x0000_s1026" o:spt="203" style="position:absolute;left:0pt;margin-left:91.1pt;margin-top:5.45pt;height:187.9pt;width:220.45pt;mso-wrap-distance-bottom:0pt;mso-wrap-distance-top:0pt;z-index:251674624;mso-width-relative:page;mso-height-relative:page;" coordorigin="7345,244510" coordsize="4409,3758" o:gfxdata="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">
                <o:lock v:ext="edit" aspectratio="f"/>
                <v:rect id="矩形 55" o:spid="_x0000_s1026" o:spt="1" style="position:absolute;left:8728;top:244510;height:727;width:1763;" fillcolor="#FFFFFF" filled="t" stroked="t" coordsize="21600,21600" o:gfxdata="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3tznS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1D213D32">
                        <w:pPr>
                          <w:jc w:val="center"/>
                          <w:rPr>
                            <w:rFonts w:hint="eastAsia" w:eastAsia="宋体"/>
                            <w:sz w:val="28"/>
                            <w:szCs w:val="28"/>
                            <w:lang w:eastAsia="zh-CN"/>
                          </w:rPr>
                        </w:pPr>
                        <w:r>
                          <w:rPr>
                            <w:rFonts w:hint="eastAsia"/>
                            <w:sz w:val="28"/>
                            <w:szCs w:val="28"/>
                            <w:lang w:eastAsia="zh-CN"/>
                          </w:rPr>
                          <w:t>应急指挥部</w:t>
                        </w:r>
                      </w:p>
                    </w:txbxContent>
                  </v:textbox>
                </v:rect>
                <v:rect id="矩形 57" o:spid="_x0000_s1026" o:spt="1" style="position:absolute;left:9347;top:246566;height:1702;width:569;" fillcolor="#FFFFFF" filled="t" stroked="t" coordsize="21600,21600" o:gfxdata="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nP1mL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75973192">
                        <w:pPr>
                          <w:rPr>
                            <w:rFonts w:hint="eastAsia" w:eastAsia="宋体" w:cs="Times New Roman"/>
                            <w:sz w:val="24"/>
                            <w:szCs w:val="24"/>
                            <w:lang w:eastAsia="zh-CN"/>
                          </w:rPr>
                        </w:pPr>
                        <w:r>
                          <w:rPr>
                            <w:rFonts w:hint="eastAsia" w:eastAsia="宋体" w:cs="Times New Roman"/>
                            <w:sz w:val="24"/>
                            <w:szCs w:val="24"/>
                            <w:lang w:eastAsia="zh-CN"/>
                          </w:rPr>
                          <w:t>综合协调组</w:t>
                        </w:r>
                      </w:p>
                    </w:txbxContent>
                  </v:textbox>
                </v:rect>
                <v:rect id="矩形 58" o:spid="_x0000_s1026" o:spt="1" style="position:absolute;left:11185;top:246566;height:1702;width:569;" fillcolor="#FFFFFF" filled="t" stroked="t" coordsize="21600,21600" o:gfxdata="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I+xh6rgAAADbAAAA&#10;DwAAAAAAAAABACAAAAAiAAAAZHJzL2Rvd25yZXYueG1sUEsBAhQAFAAAAAgAh07iQDMvBZ47AAAA&#10;OQAAABAAAAAAAAAAAQAgAAAABwEAAGRycy9zaGFwZXhtbC54bWxQSwUGAAAAAAYABgBbAQAAsQMA&#10;AAAA&#10;">
                  <v:fill on="t" focussize="0,0"/>
                  <v:stroke color="#000000" joinstyle="miter"/>
                  <v:imagedata o:title=""/>
                  <o:lock v:ext="edit" aspectratio="f"/>
                  <v:textbox>
                    <w:txbxContent>
                      <w:p w14:paraId="49FD1676">
                        <w:pPr>
                          <w:rPr>
                            <w:rFonts w:hint="eastAsia" w:eastAsia="宋体"/>
                            <w:sz w:val="24"/>
                            <w:szCs w:val="24"/>
                            <w:lang w:eastAsia="zh-CN"/>
                          </w:rPr>
                        </w:pPr>
                        <w:r>
                          <w:rPr>
                            <w:rFonts w:hint="eastAsia"/>
                            <w:sz w:val="24"/>
                            <w:szCs w:val="24"/>
                            <w:lang w:eastAsia="zh-CN"/>
                          </w:rPr>
                          <w:t>警戒疏散组</w:t>
                        </w:r>
                      </w:p>
                      <w:p w14:paraId="5C647FD6">
                        <w:pPr>
                          <w:rPr>
                            <w:rFonts w:hint="eastAsia"/>
                            <w:lang w:eastAsia="zh-CN"/>
                          </w:rPr>
                        </w:pPr>
                      </w:p>
                    </w:txbxContent>
                  </v:textbox>
                </v:rect>
                <v:rect id="矩形 59" o:spid="_x0000_s1026" o:spt="1" style="position:absolute;left:7345;top:246566;height:1702;width:569;" fillcolor="#FFFFFF" filled="t" stroked="t" coordsize="21600,21600" o:gfxdata="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KDEcb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5792D1AD">
                        <w:pPr>
                          <w:rPr>
                            <w:rFonts w:hint="eastAsia" w:eastAsia="宋体"/>
                            <w:sz w:val="24"/>
                            <w:szCs w:val="24"/>
                            <w:lang w:eastAsia="zh-CN"/>
                          </w:rPr>
                        </w:pPr>
                        <w:r>
                          <w:rPr>
                            <w:rFonts w:hint="eastAsia"/>
                            <w:sz w:val="24"/>
                            <w:szCs w:val="24"/>
                            <w:lang w:val="en-US" w:eastAsia="zh-CN"/>
                          </w:rPr>
                          <w:t>现场</w:t>
                        </w:r>
                        <w:r>
                          <w:rPr>
                            <w:rFonts w:hint="eastAsia"/>
                            <w:sz w:val="24"/>
                            <w:szCs w:val="24"/>
                            <w:lang w:eastAsia="zh-CN"/>
                          </w:rPr>
                          <w:t>处置组</w:t>
                        </w:r>
                      </w:p>
                    </w:txbxContent>
                  </v:textbox>
                </v:rect>
                <v:shape id="肘形连接符 61" o:spid="_x0000_s1026" o:spt="34" type="#_x0000_t34" style="position:absolute;left:7951;top:244907;height:1980;width:1329;rotation:5898240f;" filled="f" stroked="t" coordsize="21600,21600" o:gfxdata="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9Cd60ugAAANsA&#10;AAAPAAAAAAAAAAEAIAAAACIAAABkcnMvZG93bnJldi54bWxQSwECFAAUAAAACACHTuJAMy8FnjsA&#10;AAA5AAAAEAAAAAAAAAABACAAAAAJAQAAZHJzL3NoYXBleG1sLnhtbFBLBQYAAAAABgAGAFsBAACz&#10;AwAAAAA=&#10;" adj="10800">
                  <v:fill on="f" focussize="0,0"/>
                  <v:stroke color="#000000" joinstyle="miter" endarrow="open"/>
                  <v:imagedata o:title=""/>
                  <o:lock v:ext="edit" aspectratio="f"/>
                </v:shape>
                <v:shape id="肘形连接符 62" o:spid="_x0000_s1026" o:spt="34" type="#_x0000_t34" style="position:absolute;left:9871;top:244967;flip:y;height:1860;width:1329;rotation:-5898240f;" filled="f" stroked="t" coordsize="21600,21600" o:gfxdata="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E/Ugr4A&#10;AADbAAAADwAAAAAAAAABACAAAAAiAAAAZHJzL2Rvd25yZXYueG1sUEsBAhQAFAAAAAgAh07iQDMv&#10;BZ47AAAAOQAAABAAAAAAAAAAAQAgAAAADQEAAGRycy9zaGFwZXhtbC54bWxQSwUGAAAAAAYABgBb&#10;AQAAtwMAAAAA&#10;" adj="10800">
                  <v:fill on="f" focussize="0,0"/>
                  <v:stroke color="#000000" joinstyle="miter" endarrow="open"/>
                  <v:imagedata o:title=""/>
                  <o:lock v:ext="edit" aspectratio="f"/>
                </v:shape>
                <v:line id="直接连接符 63" o:spid="_x0000_s1026" o:spt="20" style="position:absolute;left:9596;top:245886;height:675;width:10;" filled="f" stroked="t" coordsize="21600,21600" o:gfxdata="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M4TSL4A&#10;AADbAAAADwAAAAAAAAABACAAAAAiAAAAZHJzL2Rvd25yZXYueG1sUEsBAhQAFAAAAAgAh07iQDMv&#10;BZ47AAAAOQAAABAAAAAAAAAAAQAgAAAADQEAAGRycy9zaGFwZXhtbC54bWxQSwUGAAAAAAYABgBb&#10;AQAAtwMAAAAA&#10;">
                  <v:fill on="f" focussize="0,0"/>
                  <v:stroke color="#000000" joinstyle="round" endarrow="open"/>
                  <v:imagedata o:title=""/>
                  <o:lock v:ext="edit" aspectratio="f"/>
                </v:line>
                <w10:wrap type="topAndBottom"/>
              </v:group>
            </w:pict>
          </mc:Fallback>
        </mc:AlternateContent>
      </w:r>
      <w:r>
        <w:rPr>
          <w:rFonts w:hint="eastAsia" w:ascii="宋体" w:hAnsi="宋体" w:eastAsia="宋体" w:cs="宋体"/>
          <w:b/>
          <w:bCs/>
          <w:color w:val="auto"/>
          <w:sz w:val="24"/>
          <w:szCs w:val="24"/>
          <w:lang w:val="en-US" w:eastAsia="zh-CN"/>
        </w:rPr>
        <w:t>图3-2 应急工作体系图</w:t>
      </w:r>
    </w:p>
    <w:p w14:paraId="59062A69">
      <w:pPr>
        <w:keepNext w:val="0"/>
        <w:keepLines w:val="0"/>
        <w:pageBreakBefore w:val="0"/>
        <w:widowControl w:val="0"/>
        <w:kinsoku/>
        <w:wordWrap/>
        <w:overflowPunct/>
        <w:topLinePunct w:val="0"/>
        <w:autoSpaceDE/>
        <w:autoSpaceDN/>
        <w:bidi w:val="0"/>
        <w:adjustRightInd/>
        <w:snapToGrid/>
        <w:spacing w:line="360" w:lineRule="auto"/>
        <w:ind w:left="0" w:firstLine="562" w:firstLineChars="200"/>
        <w:textAlignment w:val="auto"/>
        <w:outlineLvl w:val="2"/>
        <w:rPr>
          <w:rFonts w:hint="default" w:ascii="宋体" w:hAnsi="宋体" w:eastAsia="宋体" w:cs="宋体"/>
          <w:b/>
          <w:bCs/>
          <w:color w:val="auto"/>
          <w:kern w:val="2"/>
          <w:sz w:val="28"/>
          <w:szCs w:val="28"/>
          <w:lang w:val="en-US" w:eastAsia="zh-CN" w:bidi="ar-SA"/>
        </w:rPr>
      </w:pPr>
      <w:r>
        <w:rPr>
          <w:rFonts w:hint="eastAsia" w:ascii="宋体" w:hAnsi="宋体" w:eastAsia="宋体" w:cs="宋体"/>
          <w:b/>
          <w:bCs/>
          <w:color w:val="auto"/>
          <w:kern w:val="2"/>
          <w:sz w:val="28"/>
          <w:szCs w:val="28"/>
          <w:lang w:val="en-US" w:eastAsia="zh-CN" w:bidi="ar-SA"/>
        </w:rPr>
        <w:t>3.2.2 应急指挥部职责</w:t>
      </w:r>
    </w:p>
    <w:p w14:paraId="4309874E">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3"/>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3.2.2.1 应急指挥部</w:t>
      </w:r>
    </w:p>
    <w:p w14:paraId="7D366014">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1）宣布成立现场应急指挥部；</w:t>
      </w:r>
    </w:p>
    <w:p w14:paraId="63841B33">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2）发生水源地突发环境事件时，亲自或委托副指挥长赶赴现场进行指挥；</w:t>
      </w:r>
    </w:p>
    <w:p w14:paraId="56680D7C">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3）组织开展现场应急处置；</w:t>
      </w:r>
    </w:p>
    <w:p w14:paraId="1EA1106D">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4）贯彻执行当地或上级人民政府及有关部门的应急指令；</w:t>
      </w:r>
    </w:p>
    <w:p w14:paraId="1DC6B09F">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5）研判突发环境事件发展态势，组织制定并批准现场处置方案；</w:t>
      </w:r>
    </w:p>
    <w:p w14:paraId="074DC1D8">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6）按照预警、应急启动或终止条件，决定预案的启动或终止；</w:t>
      </w:r>
    </w:p>
    <w:p w14:paraId="2AAFC5B6">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7）组织开展损害评估等后期工作。</w:t>
      </w:r>
    </w:p>
    <w:p w14:paraId="06BD322D">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8）接受上级领导部门交办任务。</w:t>
      </w:r>
    </w:p>
    <w:p w14:paraId="7FDC461F">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3"/>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3.2.2.2 现场处置组</w:t>
      </w:r>
    </w:p>
    <w:p w14:paraId="5761DFE4">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组  长：产业发展中心主任</w:t>
      </w:r>
    </w:p>
    <w:p w14:paraId="5A71E3D9">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成  员：产业发展中心工作人员、产业发展中心工作人员</w:t>
      </w:r>
    </w:p>
    <w:p w14:paraId="67F2B972">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主要职责：</w:t>
      </w:r>
    </w:p>
    <w:p w14:paraId="1A303446">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1）根据突发环境事件的性质、社会危害程度、可控性和影响范围，明确应对应急处置工作方案。</w:t>
      </w:r>
    </w:p>
    <w:p w14:paraId="25763F26">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2）制定人员搜救方案，指导现场处置人员的安全防护和遇险人员自救，清点、寻找事件现场内涉险人员，并将其从危险区疏散撤离。</w:t>
      </w:r>
    </w:p>
    <w:p w14:paraId="1C0CA383">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3）迅速组织切断污染源，分析污染途径，明确防止污染物扩散的路径；组织采取有效措施。对风险物质收集为主，开展围堵、疏导、收集的应急处置工作。</w:t>
      </w:r>
    </w:p>
    <w:p w14:paraId="19577762">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4）消除或减轻已经造成的污染，明确不同情况下的现场处置人员须采取的个人防护措施。</w:t>
      </w:r>
    </w:p>
    <w:p w14:paraId="025F6F2F">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5）实施持续有序高效组织开展突发环境事件影响区域的应急处置工作。</w:t>
      </w:r>
    </w:p>
    <w:p w14:paraId="763DF55C">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6）完成应急指挥部交办的其他任务。</w:t>
      </w:r>
    </w:p>
    <w:p w14:paraId="72A4CE9B">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3"/>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3.2.2.3 综合协调组</w:t>
      </w:r>
    </w:p>
    <w:p w14:paraId="5470632F">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组  长：基层治理综合指挥室负责人</w:t>
      </w:r>
    </w:p>
    <w:p w14:paraId="262E63BF">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成  员：基层治理综合指挥室工作人员、基层治理综合指挥室工作人员</w:t>
      </w:r>
    </w:p>
    <w:p w14:paraId="158409CA">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主要职责：</w:t>
      </w:r>
    </w:p>
    <w:p w14:paraId="4F41B105">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default" w:ascii="宋体" w:hAnsi="宋体" w:eastAsia="宋体" w:cs="宋体"/>
          <w:color w:val="auto"/>
          <w:sz w:val="28"/>
          <w:szCs w:val="28"/>
          <w:lang w:val="en-US" w:eastAsia="zh-CN"/>
        </w:rPr>
        <w:t>1</w:t>
      </w:r>
      <w:r>
        <w:rPr>
          <w:rFonts w:hint="eastAsia" w:ascii="宋体" w:hAnsi="宋体" w:eastAsia="宋体" w:cs="宋体"/>
          <w:color w:val="auto"/>
          <w:sz w:val="28"/>
          <w:szCs w:val="28"/>
          <w:lang w:val="en-US" w:eastAsia="zh-CN"/>
        </w:rPr>
        <w:t>）负责事发现场相关信息的收集、汇总、处理，组织编制环境事件报告。</w:t>
      </w:r>
    </w:p>
    <w:p w14:paraId="4992BA38">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highlight w:val="none"/>
          <w:lang w:val="en-US" w:eastAsia="zh-CN"/>
        </w:rPr>
      </w:pPr>
      <w:r>
        <w:rPr>
          <w:rFonts w:hint="default" w:ascii="宋体" w:hAnsi="宋体" w:eastAsia="宋体" w:cs="宋体"/>
          <w:color w:val="auto"/>
          <w:sz w:val="28"/>
          <w:szCs w:val="28"/>
          <w:lang w:val="en-US" w:eastAsia="zh-CN"/>
        </w:rPr>
        <w:t>2</w:t>
      </w:r>
      <w:r>
        <w:rPr>
          <w:rFonts w:hint="eastAsia" w:ascii="宋体" w:hAnsi="宋体" w:eastAsia="宋体" w:cs="宋体"/>
          <w:color w:val="auto"/>
          <w:sz w:val="28"/>
          <w:szCs w:val="28"/>
          <w:lang w:val="en-US" w:eastAsia="zh-CN"/>
        </w:rPr>
        <w:t>）及时向区政府和上级主管部门报送信息，</w:t>
      </w:r>
      <w:r>
        <w:rPr>
          <w:rFonts w:hint="eastAsia" w:ascii="宋体" w:hAnsi="宋体" w:eastAsia="宋体" w:cs="宋体"/>
          <w:color w:val="auto"/>
          <w:sz w:val="28"/>
          <w:szCs w:val="28"/>
          <w:highlight w:val="none"/>
          <w:lang w:val="en-US" w:eastAsia="zh-CN"/>
        </w:rPr>
        <w:t>协调区、街道的环境应急处置力量。</w:t>
      </w:r>
    </w:p>
    <w:p w14:paraId="16D7AC74">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default" w:ascii="宋体" w:hAnsi="宋体" w:eastAsia="宋体" w:cs="宋体"/>
          <w:color w:val="auto"/>
          <w:sz w:val="28"/>
          <w:szCs w:val="28"/>
          <w:lang w:val="en-US" w:eastAsia="zh-CN"/>
        </w:rPr>
        <w:t>3</w:t>
      </w:r>
      <w:r>
        <w:rPr>
          <w:rFonts w:hint="eastAsia" w:ascii="宋体" w:hAnsi="宋体" w:eastAsia="宋体" w:cs="宋体"/>
          <w:color w:val="auto"/>
          <w:sz w:val="28"/>
          <w:szCs w:val="28"/>
          <w:lang w:val="en-US" w:eastAsia="zh-CN"/>
        </w:rPr>
        <w:t>）负责保持与各单位（部门）的信息联络工作</w:t>
      </w:r>
      <w:r>
        <w:rPr>
          <w:rFonts w:hint="eastAsia" w:ascii="宋体" w:hAnsi="宋体" w:cs="宋体"/>
          <w:color w:val="auto"/>
          <w:sz w:val="28"/>
          <w:szCs w:val="28"/>
          <w:lang w:val="en-US" w:eastAsia="zh-CN"/>
        </w:rPr>
        <w:t>。</w:t>
      </w:r>
      <w:r>
        <w:rPr>
          <w:rFonts w:hint="eastAsia" w:ascii="宋体" w:hAnsi="宋体" w:eastAsia="宋体" w:cs="宋体"/>
          <w:color w:val="auto"/>
          <w:sz w:val="28"/>
          <w:szCs w:val="28"/>
          <w:lang w:val="en-US" w:eastAsia="zh-CN"/>
        </w:rPr>
        <w:t>负责制定应急供水保障方案；负责指导供水单位启动深度处 理设施或备用水源以及应急供水车等措施，保障居民用水；</w:t>
      </w:r>
    </w:p>
    <w:p w14:paraId="2FBDC2B2">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default" w:ascii="宋体" w:hAnsi="宋体" w:eastAsia="宋体" w:cs="宋体"/>
          <w:color w:val="auto"/>
          <w:sz w:val="28"/>
          <w:szCs w:val="28"/>
          <w:lang w:val="en-US" w:eastAsia="zh-CN"/>
        </w:rPr>
        <w:t>4</w:t>
      </w:r>
      <w:r>
        <w:rPr>
          <w:rFonts w:hint="eastAsia" w:ascii="宋体" w:hAnsi="宋体" w:eastAsia="宋体" w:cs="宋体"/>
          <w:color w:val="auto"/>
          <w:sz w:val="28"/>
          <w:szCs w:val="28"/>
          <w:lang w:val="en-US" w:eastAsia="zh-CN"/>
        </w:rPr>
        <w:t>）对预警、应急处置、事件调查、信息报送、信息通报、信息发布等工作进行统筹协调、指挥调度、督促落实。</w:t>
      </w:r>
    </w:p>
    <w:p w14:paraId="67CAE010">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default" w:ascii="宋体" w:hAnsi="宋体" w:eastAsia="宋体" w:cs="宋体"/>
          <w:color w:val="auto"/>
          <w:sz w:val="28"/>
          <w:szCs w:val="28"/>
          <w:lang w:val="en-US" w:eastAsia="zh-CN"/>
        </w:rPr>
        <w:t>5</w:t>
      </w:r>
      <w:r>
        <w:rPr>
          <w:rFonts w:hint="eastAsia" w:ascii="宋体" w:hAnsi="宋体" w:eastAsia="宋体" w:cs="宋体"/>
          <w:color w:val="auto"/>
          <w:sz w:val="28"/>
          <w:szCs w:val="28"/>
          <w:lang w:val="en-US" w:eastAsia="zh-CN"/>
        </w:rPr>
        <w:t>）组织做好环境应急救援物资及临时安置重要物资的紧急储备调拨和紧急配送工作。</w:t>
      </w:r>
    </w:p>
    <w:p w14:paraId="399043F1">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6）及时组织调运生活必需品，保障事件区域附近群众基本生活和市场供应。</w:t>
      </w:r>
    </w:p>
    <w:p w14:paraId="046C8B6F">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7）组织开展应急工作的信息发布工作，加强新闻宣传。收集分析舆情和社会公众动态，及时澄清不实信息，回应社会关切。加强媒体、电信和互联网的管理，正确引导舆论。</w:t>
      </w:r>
    </w:p>
    <w:p w14:paraId="2679457B">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8</w:t>
      </w:r>
      <w:r>
        <w:rPr>
          <w:rFonts w:hint="default" w:ascii="宋体" w:hAnsi="宋体" w:eastAsia="宋体" w:cs="宋体"/>
          <w:color w:val="auto"/>
          <w:sz w:val="28"/>
          <w:szCs w:val="28"/>
          <w:lang w:val="en-US" w:eastAsia="zh-CN"/>
        </w:rPr>
        <w:t>）突发环境事件处置工作结束后，负责开展善后处置工作，包括人员安置、抚恤补偿、保险理赔、医疗补助、征用补偿、救援物资供应、环境污染消除、污染源监控和治理等措施</w:t>
      </w:r>
    </w:p>
    <w:p w14:paraId="045F892A">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9</w:t>
      </w:r>
      <w:r>
        <w:rPr>
          <w:rFonts w:hint="default" w:ascii="宋体" w:hAnsi="宋体" w:eastAsia="宋体" w:cs="宋体"/>
          <w:color w:val="auto"/>
          <w:sz w:val="28"/>
          <w:szCs w:val="28"/>
          <w:lang w:val="en-US" w:eastAsia="zh-CN"/>
        </w:rPr>
        <w:t>）防止事件造成次生、衍生危害，尽快恢复正常秩序，确保社会稳定。</w:t>
      </w:r>
    </w:p>
    <w:p w14:paraId="3A327457">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10）完成应急指挥部交办的其他任务。</w:t>
      </w:r>
    </w:p>
    <w:p w14:paraId="0DBD9EE8">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3"/>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3.2.2.4 警戒疏散组</w:t>
      </w:r>
    </w:p>
    <w:p w14:paraId="56C9CA04">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组  长：五通乡平安法制办主任</w:t>
      </w:r>
    </w:p>
    <w:p w14:paraId="6B67EE47">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成  员：五通乡执法大队大队长、五通乡执法大队工作人员、五通乡执法大队工作人员</w:t>
      </w:r>
    </w:p>
    <w:p w14:paraId="42D62B11">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主要职责：</w:t>
      </w:r>
    </w:p>
    <w:p w14:paraId="669D8FA4">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根据突发环境事件的污染物种类、性质以及当地气象、自然、社会环境状况等，配合区政府、区生态环境局或专家等明确相应的应急监测方案及监测方法，协调、配合监测单位开展应急监测，及时为突发环境事件应急决策提供依据。</w:t>
      </w:r>
    </w:p>
    <w:p w14:paraId="3D786DE0">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2）依据现场监测的情况，为事件区域设置警戒区域提供科学依据，并划定现场警戒和交通管制区域，确定重点防护区域。</w:t>
      </w:r>
    </w:p>
    <w:p w14:paraId="5F6CAAFE">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3）确定受威胁人员疏散的方式和途径，疏散转移受威胁人员至紧急避险场所。</w:t>
      </w:r>
    </w:p>
    <w:p w14:paraId="2DB7DB67">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4）及时组织开展伤病员医疗救治、应急心理援助，将人员伤害降低到最小，协助开展受污染人员的卫生防疫工作。</w:t>
      </w:r>
    </w:p>
    <w:p w14:paraId="00B4B147">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5）负责事件现场警戒，及时对无关人员疏散，疏通消防通道，确保消防、医疗救护车辆能抵达事件现场。</w:t>
      </w:r>
    </w:p>
    <w:p w14:paraId="143CBAD8">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6）维护事件现场治安秩序，确保事件应急救援工作顺利开展。</w:t>
      </w:r>
    </w:p>
    <w:p w14:paraId="55AD6E6D">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7）完成应急指挥部交办的其他任务。</w:t>
      </w:r>
    </w:p>
    <w:p w14:paraId="24EDAD15">
      <w:pPr>
        <w:jc w:val="center"/>
        <w:rPr>
          <w:rFonts w:hint="default" w:ascii="Times New Roman" w:hAnsi="Times New Roman" w:eastAsia="黑体" w:cs="Times New Roman"/>
          <w:color w:val="FF0000"/>
          <w:sz w:val="24"/>
        </w:rPr>
      </w:pPr>
    </w:p>
    <w:p w14:paraId="49FB6B39">
      <w:pPr>
        <w:ind w:firstLine="520" w:firstLineChars="200"/>
        <w:jc w:val="left"/>
        <w:rPr>
          <w:rFonts w:hint="default" w:ascii="Times New Roman" w:hAnsi="Times New Roman" w:cs="Times New Roman"/>
          <w:color w:val="FF0000"/>
          <w:sz w:val="26"/>
          <w:szCs w:val="26"/>
        </w:rPr>
        <w:sectPr>
          <w:footerReference r:id="rId7" w:type="default"/>
          <w:pgSz w:w="11906" w:h="16838"/>
          <w:pgMar w:top="1474" w:right="2041" w:bottom="1587" w:left="2098" w:header="851" w:footer="992" w:gutter="0"/>
          <w:pgBorders>
            <w:top w:val="none" w:sz="0" w:space="0"/>
            <w:left w:val="none" w:sz="0" w:space="0"/>
            <w:bottom w:val="none" w:sz="0" w:space="0"/>
            <w:right w:val="none" w:sz="0" w:space="0"/>
          </w:pgBorders>
          <w:pgNumType w:fmt="decimal"/>
          <w:cols w:space="720" w:num="1"/>
          <w:rtlGutter w:val="0"/>
          <w:docGrid w:type="lines" w:linePitch="312" w:charSpace="0"/>
        </w:sectPr>
      </w:pPr>
    </w:p>
    <w:p w14:paraId="2E5FEC5D">
      <w:pPr>
        <w:pStyle w:val="15"/>
        <w:keepNext w:val="0"/>
        <w:keepLines w:val="0"/>
        <w:pageBreakBefore w:val="0"/>
        <w:widowControl/>
        <w:kinsoku/>
        <w:wordWrap/>
        <w:overflowPunct/>
        <w:topLinePunct w:val="0"/>
        <w:autoSpaceDE/>
        <w:autoSpaceDN/>
        <w:bidi w:val="0"/>
        <w:adjustRightInd w:val="0"/>
        <w:snapToGrid/>
        <w:spacing w:beforeAutospacing="0" w:line="360" w:lineRule="auto"/>
        <w:ind w:firstLine="0" w:firstLineChars="0"/>
        <w:jc w:val="center"/>
        <w:textAlignment w:val="auto"/>
        <w:outlineLvl w:val="0"/>
        <w:rPr>
          <w:rStyle w:val="19"/>
          <w:rFonts w:hint="default" w:ascii="宋体" w:hAnsi="宋体" w:eastAsia="宋体" w:cs="宋体"/>
          <w:b/>
          <w:bCs/>
          <w:color w:val="000000"/>
          <w:sz w:val="32"/>
          <w:szCs w:val="32"/>
          <w:lang w:val="en-US" w:eastAsia="zh-CN"/>
        </w:rPr>
      </w:pPr>
      <w:bookmarkStart w:id="43" w:name="_Toc13839"/>
      <w:bookmarkStart w:id="44" w:name="_Toc13987"/>
      <w:bookmarkStart w:id="45" w:name="_Toc15130"/>
      <w:r>
        <w:rPr>
          <w:rStyle w:val="19"/>
          <w:rFonts w:hint="eastAsia" w:ascii="宋体" w:hAnsi="宋体" w:eastAsia="宋体" w:cs="宋体"/>
          <w:b/>
          <w:bCs/>
          <w:color w:val="000000"/>
          <w:sz w:val="32"/>
          <w:szCs w:val="32"/>
          <w:lang w:val="en-US" w:eastAsia="zh-CN"/>
        </w:rPr>
        <w:t>4</w:t>
      </w:r>
      <w:r>
        <w:rPr>
          <w:rStyle w:val="19"/>
          <w:rFonts w:hint="eastAsia" w:ascii="宋体" w:hAnsi="宋体" w:cs="宋体"/>
          <w:b/>
          <w:bCs/>
          <w:color w:val="000000"/>
          <w:sz w:val="32"/>
          <w:szCs w:val="32"/>
          <w:lang w:val="en-US" w:eastAsia="zh-CN"/>
        </w:rPr>
        <w:t xml:space="preserve"> </w:t>
      </w:r>
      <w:r>
        <w:rPr>
          <w:rStyle w:val="19"/>
          <w:rFonts w:hint="eastAsia" w:cs="宋体"/>
          <w:b/>
          <w:bCs/>
          <w:color w:val="000000"/>
          <w:sz w:val="32"/>
          <w:szCs w:val="32"/>
          <w:lang w:val="en-US" w:eastAsia="zh-CN"/>
        </w:rPr>
        <w:t>应急响应</w:t>
      </w:r>
      <w:bookmarkEnd w:id="43"/>
      <w:bookmarkEnd w:id="44"/>
    </w:p>
    <w:p w14:paraId="2B78A8EF">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开州区五通乡老林沟水源地突发环境事件应急响应程序包括信息收集和研判、预警、信息报告与通报、事态研判、应急监测、污染源排查与处置、应急处置、物资调集及应急设施启用、舆情监测与信息发布、响应终止等工作内容。主要应急响应流程图见图4.1-1。</w:t>
      </w:r>
    </w:p>
    <w:p w14:paraId="336345E0">
      <w:pPr>
        <w:pStyle w:val="21"/>
        <w:rPr>
          <w:rFonts w:hint="eastAsia"/>
          <w:lang w:val="en-US" w:eastAsia="zh-CN"/>
        </w:rPr>
      </w:pPr>
      <w:r>
        <w:rPr>
          <w:rFonts w:hint="default" w:ascii="Times New Roman" w:hAnsi="Times New Roman" w:eastAsia="宋体" w:cs="Times New Roman"/>
          <w:color w:val="000000"/>
          <w:kern w:val="2"/>
          <w:sz w:val="21"/>
          <w:szCs w:val="24"/>
          <w:lang w:val="en-US" w:eastAsia="zh-CN" w:bidi="ar-SA"/>
        </w:rPr>
        <w:drawing>
          <wp:anchor distT="0" distB="0" distL="114300" distR="114300" simplePos="0" relativeHeight="251673600" behindDoc="0" locked="0" layoutInCell="1" allowOverlap="1">
            <wp:simplePos x="0" y="0"/>
            <wp:positionH relativeFrom="column">
              <wp:posOffset>-20320</wp:posOffset>
            </wp:positionH>
            <wp:positionV relativeFrom="paragraph">
              <wp:posOffset>0</wp:posOffset>
            </wp:positionV>
            <wp:extent cx="5788660" cy="6143625"/>
            <wp:effectExtent l="0" t="0" r="2540" b="9525"/>
            <wp:wrapTopAndBottom/>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23"/>
                    <a:stretch>
                      <a:fillRect/>
                    </a:stretch>
                  </pic:blipFill>
                  <pic:spPr>
                    <a:xfrm>
                      <a:off x="0" y="0"/>
                      <a:ext cx="5788660" cy="6143625"/>
                    </a:xfrm>
                    <a:prstGeom prst="rect">
                      <a:avLst/>
                    </a:prstGeom>
                    <a:noFill/>
                    <a:ln>
                      <a:noFill/>
                    </a:ln>
                  </pic:spPr>
                </pic:pic>
              </a:graphicData>
            </a:graphic>
          </wp:anchor>
        </w:drawing>
      </w:r>
    </w:p>
    <w:p w14:paraId="439F17E4">
      <w:pPr>
        <w:pStyle w:val="22"/>
        <w:spacing w:line="520" w:lineRule="exact"/>
        <w:ind w:firstLine="0" w:firstLineChars="0"/>
        <w:jc w:val="center"/>
        <w:rPr>
          <w:rFonts w:hint="eastAsia" w:ascii="宋体" w:hAnsi="宋体" w:cs="Times New Roman"/>
          <w:b/>
          <w:bCs/>
          <w:sz w:val="24"/>
          <w:lang w:val="en-US" w:eastAsia="zh-CN"/>
        </w:rPr>
      </w:pPr>
      <w:r>
        <w:rPr>
          <w:rFonts w:hint="eastAsia" w:ascii="宋体" w:hAnsi="宋体" w:cs="Times New Roman"/>
          <w:b/>
          <w:bCs/>
          <w:sz w:val="24"/>
          <w:lang w:val="en-US" w:eastAsia="zh-CN"/>
        </w:rPr>
        <w:t>图4.1-1 应急响应流程图</w:t>
      </w:r>
    </w:p>
    <w:p w14:paraId="63571ECC">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46" w:name="_Toc186124190"/>
      <w:bookmarkStart w:id="47" w:name="_Toc9410"/>
      <w:bookmarkStart w:id="48" w:name="_Toc186125025"/>
      <w:bookmarkStart w:id="49" w:name="_Toc4623"/>
      <w:bookmarkStart w:id="50" w:name="_Toc186123037"/>
      <w:bookmarkStart w:id="51" w:name="_Toc30252"/>
      <w:bookmarkStart w:id="52" w:name="_Toc186122732"/>
      <w:r>
        <w:rPr>
          <w:rFonts w:hint="eastAsia" w:ascii="宋体" w:hAnsi="宋体" w:cs="宋体"/>
          <w:b/>
          <w:bCs/>
          <w:color w:val="000000"/>
          <w:sz w:val="28"/>
          <w:szCs w:val="28"/>
          <w:lang w:val="en-US" w:eastAsia="zh-CN"/>
        </w:rPr>
        <w:t>4</w:t>
      </w:r>
      <w:r>
        <w:rPr>
          <w:rFonts w:hint="eastAsia" w:ascii="宋体" w:hAnsi="宋体" w:eastAsia="宋体" w:cs="宋体"/>
          <w:b/>
          <w:bCs/>
          <w:color w:val="000000"/>
          <w:sz w:val="28"/>
          <w:szCs w:val="28"/>
          <w:lang w:val="en-US" w:eastAsia="zh-CN"/>
        </w:rPr>
        <w:t>.1</w:t>
      </w:r>
      <w:r>
        <w:rPr>
          <w:rFonts w:hint="eastAsia" w:ascii="宋体" w:hAnsi="宋体" w:cs="宋体"/>
          <w:b/>
          <w:bCs/>
          <w:color w:val="000000"/>
          <w:sz w:val="28"/>
          <w:szCs w:val="28"/>
          <w:lang w:val="en-US" w:eastAsia="zh-CN"/>
        </w:rPr>
        <w:t xml:space="preserve"> </w:t>
      </w:r>
      <w:r>
        <w:rPr>
          <w:rFonts w:hint="eastAsia" w:ascii="宋体" w:hAnsi="宋体" w:eastAsia="宋体" w:cs="宋体"/>
          <w:b/>
          <w:bCs/>
          <w:color w:val="000000"/>
          <w:sz w:val="28"/>
          <w:szCs w:val="28"/>
          <w:lang w:val="en-US" w:eastAsia="zh-CN"/>
        </w:rPr>
        <w:t>信息收集与研判</w:t>
      </w:r>
      <w:bookmarkEnd w:id="46"/>
      <w:bookmarkEnd w:id="47"/>
      <w:bookmarkEnd w:id="48"/>
      <w:bookmarkEnd w:id="49"/>
      <w:bookmarkEnd w:id="50"/>
      <w:bookmarkEnd w:id="51"/>
      <w:bookmarkEnd w:id="52"/>
    </w:p>
    <w:p w14:paraId="6CD7E095">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sz w:val="28"/>
          <w:szCs w:val="28"/>
          <w:lang w:eastAsia="zh-CN"/>
        </w:rPr>
        <w:t>.1.1 信息收集</w:t>
      </w:r>
    </w:p>
    <w:p w14:paraId="1360E5C0">
      <w:pPr>
        <w:keepNext w:val="0"/>
        <w:keepLines w:val="0"/>
        <w:pageBreakBefore w:val="0"/>
        <w:widowControl w:val="0"/>
        <w:kinsoku/>
        <w:wordWrap/>
        <w:overflowPunct/>
        <w:topLinePunct w:val="0"/>
        <w:autoSpaceDE/>
        <w:autoSpaceDN/>
        <w:bidi w:val="0"/>
        <w:adjustRightInd/>
        <w:snapToGrid/>
        <w:spacing w:line="360" w:lineRule="auto"/>
        <w:ind w:left="0" w:firstLine="560" w:firstLineChars="200"/>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信息来源包括但不限于以下途径：通过流域、水源地或供水单位开展的水质监督性监测（常规断面）、在线监测（常规和预警监控断面）等日常监管渠道获取水质异常信息，也可以通过水文气象、地质灾害、污染源排放等信息开展水质预测预警，获取水质异常信息；通过水源地上游及周边主要风险源监控获取异常排放信息、相关部门报告、群众举报获取事故信息；通过各部门之间以及饮用水水源地上下游相邻</w:t>
      </w:r>
      <w:r>
        <w:rPr>
          <w:rFonts w:hint="eastAsia" w:ascii="宋体" w:hAnsi="宋体" w:cs="宋体"/>
          <w:color w:val="auto"/>
          <w:sz w:val="28"/>
          <w:szCs w:val="28"/>
          <w:lang w:val="en-US" w:eastAsia="zh-CN"/>
        </w:rPr>
        <w:t>镇</w:t>
      </w:r>
      <w:r>
        <w:rPr>
          <w:rFonts w:hint="eastAsia" w:ascii="宋体" w:hAnsi="宋体" w:eastAsia="宋体" w:cs="宋体"/>
          <w:color w:val="auto"/>
          <w:sz w:val="28"/>
          <w:szCs w:val="28"/>
          <w:lang w:val="en-US" w:eastAsia="zh-CN"/>
        </w:rPr>
        <w:t>人民政府</w:t>
      </w:r>
      <w:r>
        <w:rPr>
          <w:rFonts w:hint="eastAsia" w:ascii="宋体" w:hAnsi="宋体" w:cs="宋体"/>
          <w:color w:val="auto"/>
          <w:sz w:val="28"/>
          <w:szCs w:val="28"/>
          <w:lang w:val="en-US" w:eastAsia="zh-CN"/>
        </w:rPr>
        <w:t>（街道办事处）</w:t>
      </w:r>
      <w:r>
        <w:rPr>
          <w:rFonts w:hint="eastAsia" w:ascii="宋体" w:hAnsi="宋体" w:eastAsia="宋体" w:cs="宋体"/>
          <w:color w:val="auto"/>
          <w:sz w:val="28"/>
          <w:szCs w:val="28"/>
          <w:lang w:val="en-US" w:eastAsia="zh-CN"/>
        </w:rPr>
        <w:t>之间建立的信息收集与共享渠道，获取突发环境事件信息。</w:t>
      </w:r>
    </w:p>
    <w:p w14:paraId="3261D8FF">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sz w:val="28"/>
          <w:szCs w:val="28"/>
          <w:lang w:eastAsia="zh-CN"/>
        </w:rPr>
        <w:t>.1.2 信息研判与会商</w:t>
      </w:r>
    </w:p>
    <w:p w14:paraId="4E4DE2AD">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bookmarkStart w:id="53" w:name="_Toc186123038"/>
      <w:bookmarkStart w:id="54" w:name="_Toc186124191"/>
      <w:bookmarkStart w:id="55" w:name="_Toc186122733"/>
      <w:bookmarkStart w:id="56" w:name="_Toc186125026"/>
      <w:r>
        <w:rPr>
          <w:rFonts w:hint="eastAsia" w:ascii="宋体" w:hAnsi="宋体" w:eastAsia="宋体" w:cs="宋体"/>
          <w:color w:val="auto"/>
          <w:sz w:val="28"/>
          <w:szCs w:val="28"/>
          <w:lang w:val="en-US" w:eastAsia="zh-CN"/>
        </w:rPr>
        <w:t>通过群众举报、责任单位报告、相邻</w:t>
      </w:r>
      <w:r>
        <w:rPr>
          <w:rFonts w:hint="eastAsia" w:ascii="宋体" w:hAnsi="宋体" w:cs="宋体"/>
          <w:color w:val="auto"/>
          <w:sz w:val="28"/>
          <w:szCs w:val="28"/>
          <w:lang w:val="en-US" w:eastAsia="zh-CN"/>
        </w:rPr>
        <w:t>镇</w:t>
      </w:r>
      <w:r>
        <w:rPr>
          <w:rFonts w:hint="eastAsia" w:ascii="宋体" w:hAnsi="宋体" w:eastAsia="宋体" w:cs="宋体"/>
          <w:color w:val="auto"/>
          <w:sz w:val="28"/>
          <w:szCs w:val="28"/>
          <w:lang w:val="en-US" w:eastAsia="zh-CN"/>
        </w:rPr>
        <w:t>人民政府</w:t>
      </w:r>
      <w:r>
        <w:rPr>
          <w:rFonts w:hint="eastAsia" w:ascii="宋体" w:hAnsi="宋体" w:cs="宋体"/>
          <w:color w:val="auto"/>
          <w:sz w:val="28"/>
          <w:szCs w:val="28"/>
          <w:lang w:val="en-US" w:eastAsia="zh-CN"/>
        </w:rPr>
        <w:t>（街道办事处）</w:t>
      </w:r>
      <w:r>
        <w:rPr>
          <w:rFonts w:hint="eastAsia" w:ascii="宋体" w:hAnsi="宋体" w:eastAsia="宋体" w:cs="宋体"/>
          <w:color w:val="auto"/>
          <w:sz w:val="28"/>
          <w:szCs w:val="28"/>
          <w:lang w:val="en-US" w:eastAsia="zh-CN"/>
        </w:rPr>
        <w:t>通报等渠道获取突发事件信息后，第一时间开展信息研判和会商，第一时间核实信息真实性，必要时会同相关部门共同开展应急监测或补充调查，核实信息的准确性，收集更全面、更权威的资料信息。</w:t>
      </w:r>
      <w:bookmarkEnd w:id="53"/>
      <w:bookmarkEnd w:id="54"/>
      <w:bookmarkEnd w:id="55"/>
      <w:bookmarkEnd w:id="56"/>
    </w:p>
    <w:p w14:paraId="32247432">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bookmarkStart w:id="57" w:name="_Toc186125027"/>
      <w:bookmarkStart w:id="58" w:name="_Toc186122734"/>
      <w:bookmarkStart w:id="59" w:name="_Toc186124192"/>
      <w:bookmarkStart w:id="60" w:name="_Toc186123039"/>
      <w:r>
        <w:rPr>
          <w:rFonts w:hint="eastAsia" w:ascii="宋体" w:hAnsi="宋体" w:eastAsia="宋体" w:cs="宋体"/>
          <w:color w:val="auto"/>
          <w:sz w:val="28"/>
          <w:szCs w:val="28"/>
          <w:lang w:val="en-US" w:eastAsia="zh-CN"/>
        </w:rPr>
        <w:t>初步研判发生重大、特别重大突发环境事件，由市政府牵头应对，区政府配合。初步研判发生一般、较大突发环境事件，由区政府负责应对。</w:t>
      </w:r>
      <w:bookmarkEnd w:id="57"/>
      <w:bookmarkEnd w:id="58"/>
      <w:bookmarkEnd w:id="59"/>
      <w:bookmarkEnd w:id="60"/>
    </w:p>
    <w:p w14:paraId="70D81831">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61" w:name="_Toc4972"/>
      <w:bookmarkStart w:id="62" w:name="_Toc26651"/>
      <w:r>
        <w:rPr>
          <w:rFonts w:hint="eastAsia" w:ascii="宋体" w:hAnsi="宋体" w:eastAsia="宋体" w:cs="宋体"/>
          <w:b/>
          <w:bCs/>
          <w:color w:val="000000"/>
          <w:sz w:val="28"/>
          <w:szCs w:val="28"/>
          <w:lang w:val="en-US" w:eastAsia="zh-CN"/>
        </w:rPr>
        <w:t>4.</w:t>
      </w:r>
      <w:r>
        <w:rPr>
          <w:rFonts w:hint="eastAsia" w:ascii="宋体" w:hAnsi="宋体" w:cs="宋体"/>
          <w:b/>
          <w:bCs/>
          <w:color w:val="000000"/>
          <w:sz w:val="28"/>
          <w:szCs w:val="28"/>
          <w:lang w:val="en-US" w:eastAsia="zh-CN"/>
        </w:rPr>
        <w:t>2</w:t>
      </w:r>
      <w:r>
        <w:rPr>
          <w:rFonts w:hint="eastAsia" w:ascii="宋体" w:hAnsi="宋体" w:eastAsia="宋体" w:cs="宋体"/>
          <w:b/>
          <w:bCs/>
          <w:color w:val="000000"/>
          <w:sz w:val="28"/>
          <w:szCs w:val="28"/>
          <w:lang w:val="en-US" w:eastAsia="zh-CN"/>
        </w:rPr>
        <w:t xml:space="preserve"> </w:t>
      </w:r>
      <w:bookmarkStart w:id="63" w:name="_Toc186122991"/>
      <w:bookmarkStart w:id="64" w:name="_Toc186124976"/>
      <w:bookmarkStart w:id="65" w:name="_Toc186124151"/>
      <w:r>
        <w:rPr>
          <w:rFonts w:hint="eastAsia" w:ascii="宋体" w:hAnsi="宋体" w:eastAsia="宋体" w:cs="宋体"/>
          <w:b/>
          <w:bCs/>
          <w:color w:val="000000"/>
          <w:sz w:val="28"/>
          <w:szCs w:val="28"/>
          <w:lang w:val="en-US" w:eastAsia="zh-CN"/>
        </w:rPr>
        <w:t>预警</w:t>
      </w:r>
      <w:bookmarkEnd w:id="61"/>
      <w:bookmarkEnd w:id="62"/>
      <w:bookmarkEnd w:id="63"/>
      <w:bookmarkEnd w:id="64"/>
      <w:bookmarkEnd w:id="65"/>
    </w:p>
    <w:p w14:paraId="3CD81B97">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t>预警分级</w:t>
      </w:r>
    </w:p>
    <w:p w14:paraId="36089B5B">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cs="宋体"/>
          <w:color w:val="auto"/>
          <w:sz w:val="28"/>
          <w:szCs w:val="28"/>
          <w:lang w:val="en-US" w:eastAsia="zh-CN"/>
        </w:rPr>
        <w:t>按照开州区的要求</w:t>
      </w:r>
      <w:r>
        <w:rPr>
          <w:rFonts w:hint="eastAsia" w:ascii="宋体" w:hAnsi="宋体" w:eastAsia="宋体" w:cs="宋体"/>
          <w:color w:val="auto"/>
          <w:sz w:val="28"/>
          <w:szCs w:val="28"/>
          <w:lang w:val="en-US" w:eastAsia="zh-CN"/>
        </w:rPr>
        <w:t>，水源地突发环境事件的预警级别由低到高分为橙色和红色两级。</w:t>
      </w:r>
    </w:p>
    <w:p w14:paraId="1E68C980">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橙色预警：当污染物迁移至水源地应急预案适用范围，但水源地保护区或其上游连接水体尚未受到污染，或是污染物已进入水源保护区上游连接水体，研判认为对水源地水质影响可能较小、可能不影响取水时，为橙色预警。</w:t>
      </w:r>
    </w:p>
    <w:p w14:paraId="5CE48FEF">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红色预警：当污染物已进入（或出现在）水源地保护区或其上游连接水体，研判认为对水源地水质影响可能较大时、可能影响取水时，为红色预警。</w:t>
      </w:r>
    </w:p>
    <w:p w14:paraId="18C43D7F">
      <w:pPr>
        <w:keepNext w:val="0"/>
        <w:keepLines w:val="0"/>
        <w:pageBreakBefore w:val="0"/>
        <w:widowControl w:val="0"/>
        <w:kinsoku/>
        <w:wordWrap/>
        <w:overflowPunct/>
        <w:topLinePunct w:val="0"/>
        <w:autoSpaceDE/>
        <w:autoSpaceDN/>
        <w:bidi w:val="0"/>
        <w:adjustRightInd/>
        <w:snapToGrid/>
        <w:spacing w:line="360" w:lineRule="auto"/>
        <w:ind w:left="0" w:firstLine="560" w:firstLineChars="200"/>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上述分级标准中，生态环境部、市生态环境局、区生态环境局及有关部门有规定的，从其规定。对特殊的突发环境事件，可能演化为重大、特别重大事故的，不受分级标准限制。</w:t>
      </w:r>
    </w:p>
    <w:p w14:paraId="437AAB2D">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4.2.2 预警的启动条件</w:t>
      </w:r>
    </w:p>
    <w:p w14:paraId="0EAE8667">
      <w:pPr>
        <w:keepNext w:val="0"/>
        <w:keepLines w:val="0"/>
        <w:pageBreakBefore w:val="0"/>
        <w:widowControl w:val="0"/>
        <w:kinsoku/>
        <w:wordWrap/>
        <w:overflowPunct/>
        <w:topLinePunct w:val="0"/>
        <w:autoSpaceDE/>
        <w:autoSpaceDN/>
        <w:bidi w:val="0"/>
        <w:adjustRightInd/>
        <w:snapToGrid/>
        <w:spacing w:line="360" w:lineRule="auto"/>
        <w:ind w:left="0" w:firstLine="560" w:firstLineChars="200"/>
        <w:textAlignment w:val="auto"/>
        <w:outlineLvl w:val="9"/>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4</w:t>
      </w:r>
      <w:r>
        <w:rPr>
          <w:rFonts w:hint="eastAsia" w:ascii="宋体" w:hAnsi="宋体" w:eastAsia="宋体" w:cs="宋体"/>
          <w:color w:val="auto"/>
          <w:sz w:val="28"/>
          <w:szCs w:val="28"/>
          <w:lang w:val="en-US" w:eastAsia="zh-CN"/>
        </w:rPr>
        <w:t>.</w:t>
      </w:r>
      <w:r>
        <w:rPr>
          <w:rFonts w:hint="eastAsia" w:ascii="宋体" w:hAnsi="宋体" w:cs="宋体"/>
          <w:color w:val="auto"/>
          <w:sz w:val="28"/>
          <w:szCs w:val="28"/>
          <w:lang w:val="en-US" w:eastAsia="zh-CN"/>
        </w:rPr>
        <w:t>2</w:t>
      </w:r>
      <w:r>
        <w:rPr>
          <w:rFonts w:hint="eastAsia" w:ascii="宋体" w:hAnsi="宋体" w:eastAsia="宋体" w:cs="宋体"/>
          <w:color w:val="auto"/>
          <w:sz w:val="28"/>
          <w:szCs w:val="28"/>
          <w:lang w:val="en-US" w:eastAsia="zh-CN"/>
        </w:rPr>
        <w:t>.</w:t>
      </w:r>
      <w:r>
        <w:rPr>
          <w:rFonts w:hint="eastAsia" w:ascii="宋体" w:hAnsi="宋体" w:cs="宋体"/>
          <w:color w:val="auto"/>
          <w:sz w:val="28"/>
          <w:szCs w:val="28"/>
          <w:lang w:val="en-US" w:eastAsia="zh-CN"/>
        </w:rPr>
        <w:t>2.1</w:t>
      </w:r>
      <w:r>
        <w:rPr>
          <w:rFonts w:hint="eastAsia" w:ascii="宋体" w:hAnsi="宋体" w:eastAsia="宋体" w:cs="宋体"/>
          <w:color w:val="auto"/>
          <w:sz w:val="28"/>
          <w:szCs w:val="28"/>
          <w:lang w:val="en-US" w:eastAsia="zh-CN"/>
        </w:rPr>
        <w:t xml:space="preserve"> 橙色预警启动条件</w:t>
      </w:r>
    </w:p>
    <w:p w14:paraId="7A3D99F7">
      <w:pPr>
        <w:keepNext w:val="0"/>
        <w:keepLines w:val="0"/>
        <w:pageBreakBefore w:val="0"/>
        <w:widowControl w:val="0"/>
        <w:kinsoku/>
        <w:wordWrap/>
        <w:overflowPunct/>
        <w:topLinePunct w:val="0"/>
        <w:autoSpaceDE/>
        <w:autoSpaceDN/>
        <w:bidi w:val="0"/>
        <w:adjustRightInd/>
        <w:snapToGrid/>
        <w:spacing w:line="360" w:lineRule="auto"/>
        <w:ind w:left="0" w:firstLine="560" w:firstLineChars="200"/>
        <w:textAlignment w:val="auto"/>
        <w:outlineLvl w:val="9"/>
        <w:rPr>
          <w:rFonts w:ascii="Times New Roman" w:hAnsi="Times New Roman" w:eastAsia="方正仿宋_GBK"/>
          <w:kern w:val="0"/>
          <w:sz w:val="32"/>
          <w:szCs w:val="32"/>
        </w:rPr>
      </w:pPr>
      <w:r>
        <w:rPr>
          <w:rFonts w:hint="eastAsia" w:ascii="宋体" w:hAnsi="宋体" w:eastAsia="宋体" w:cs="宋体"/>
          <w:color w:val="auto"/>
          <w:sz w:val="28"/>
          <w:szCs w:val="28"/>
          <w:lang w:val="en-US" w:eastAsia="zh-CN"/>
        </w:rPr>
        <w:t>接到上级指令或信息通报后，虽污染物未迁移至水源地应急预案适用范围，但污染物已进入水源保护区上游连接水体，经研判认为对水源地水质可能造成污染，不影响取水；通过信息报告发现，污染物已扩散至距水源保护区上游连接水体的直线距离不足1千米的陆域或水域；污染物已进入水源保护区上游连接水体，经研判认为对水源地水质影响可能较小、可能不影响取水。</w:t>
      </w:r>
    </w:p>
    <w:p w14:paraId="17CC76E3">
      <w:pPr>
        <w:keepNext w:val="0"/>
        <w:keepLines w:val="0"/>
        <w:pageBreakBefore w:val="0"/>
        <w:widowControl w:val="0"/>
        <w:kinsoku/>
        <w:wordWrap/>
        <w:overflowPunct/>
        <w:topLinePunct w:val="0"/>
        <w:autoSpaceDE/>
        <w:autoSpaceDN/>
        <w:bidi w:val="0"/>
        <w:adjustRightInd/>
        <w:snapToGrid/>
        <w:spacing w:line="360" w:lineRule="auto"/>
        <w:ind w:left="0" w:firstLine="560" w:firstLineChars="200"/>
        <w:textAlignment w:val="auto"/>
        <w:outlineLvl w:val="9"/>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4</w:t>
      </w:r>
      <w:r>
        <w:rPr>
          <w:rFonts w:hint="eastAsia" w:ascii="宋体" w:hAnsi="宋体" w:eastAsia="宋体" w:cs="宋体"/>
          <w:color w:val="auto"/>
          <w:sz w:val="28"/>
          <w:szCs w:val="28"/>
          <w:lang w:val="en-US" w:eastAsia="zh-CN"/>
        </w:rPr>
        <w:t>.</w:t>
      </w:r>
      <w:r>
        <w:rPr>
          <w:rFonts w:hint="eastAsia" w:ascii="宋体" w:hAnsi="宋体" w:cs="宋体"/>
          <w:color w:val="auto"/>
          <w:sz w:val="28"/>
          <w:szCs w:val="28"/>
          <w:lang w:val="en-US" w:eastAsia="zh-CN"/>
        </w:rPr>
        <w:t>2</w:t>
      </w:r>
      <w:r>
        <w:rPr>
          <w:rFonts w:hint="eastAsia" w:ascii="宋体" w:hAnsi="宋体" w:eastAsia="宋体" w:cs="宋体"/>
          <w:color w:val="auto"/>
          <w:sz w:val="28"/>
          <w:szCs w:val="28"/>
          <w:lang w:val="en-US" w:eastAsia="zh-CN"/>
        </w:rPr>
        <w:t>.</w:t>
      </w:r>
      <w:r>
        <w:rPr>
          <w:rFonts w:hint="eastAsia" w:ascii="宋体" w:hAnsi="宋体" w:cs="宋体"/>
          <w:color w:val="auto"/>
          <w:sz w:val="28"/>
          <w:szCs w:val="28"/>
          <w:lang w:val="en-US" w:eastAsia="zh-CN"/>
        </w:rPr>
        <w:t>2</w:t>
      </w:r>
      <w:r>
        <w:rPr>
          <w:rFonts w:hint="eastAsia" w:ascii="宋体" w:hAnsi="宋体" w:eastAsia="宋体" w:cs="宋体"/>
          <w:color w:val="auto"/>
          <w:sz w:val="28"/>
          <w:szCs w:val="28"/>
          <w:lang w:val="en-US" w:eastAsia="zh-CN"/>
        </w:rPr>
        <w:t>.2 红色预警启动条件</w:t>
      </w:r>
    </w:p>
    <w:p w14:paraId="47B22056">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接到上级指令或信息通报后，虽污染物未迁移至水源地应急预案适用的地域范围内，但污染物已进入水源保护区上游连接水体，研判认为对饮用水水源地水质有影响，可能影响取水；通过信息报告发现，在水源地一级、二级保护区内发生突发环境事件；通过信息报告发现，在二级保护区上游汇水区域4小时流程范围内发生固定源或流动源突发环境事件，或污染物已扩散至距水源保护区上游连接水体的直线距离不足100米的陆域或水域；通过信息报告发现，在二级保护区上游汇水区域8小时流程范围内发生固定源或流动源突发环境事件，或污染物已扩散至距水源保护区上游连接水体的直线距离不足200米的陆域或水域，经水质监测和信息研判，判断污染物迁移至取水口位置时，相应指标浓度仍会超标的；通过监测发现，水源保护区或其上游连接水体理化指标异常〔主要包括：在二级保护区内，出现自动站水质监测指标超标或生物综合毒性异常，经实验室监（复）测确认的；在二级保护区上游8小时流程范围内，出现水质监测指标、有毒有害物质或生物综合毒性异常，且污染物浓度持续升高的；在二级保护区上游4小时流程范围内，出现水质监测指标、有毒有害物质或生物综合毒性异常的〕；通过监测发现，水源保护区或其上游连接水体感官性状异常，即水体出现异常颜色或气味的；通过监测发现，水源保护区或其上游连接水体生态指标异常，即水面出现大面积死鱼或生物综合毒性异常并经实验室监测后确认的。</w:t>
      </w:r>
    </w:p>
    <w:p w14:paraId="187EC6BD">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4.2.3 发布预警和预警级别调整</w:t>
      </w:r>
    </w:p>
    <w:p w14:paraId="433C3D9C">
      <w:pPr>
        <w:pStyle w:val="5"/>
        <w:keepNext/>
        <w:keepLines/>
        <w:pageBreakBefore w:val="0"/>
        <w:widowControl w:val="0"/>
        <w:kinsoku/>
        <w:wordWrap/>
        <w:overflowPunct/>
        <w:topLinePunct w:val="0"/>
        <w:autoSpaceDE/>
        <w:autoSpaceDN/>
        <w:bidi w:val="0"/>
        <w:adjustRightInd/>
        <w:snapToGrid/>
        <w:spacing w:before="0" w:after="0" w:line="360" w:lineRule="auto"/>
        <w:ind w:firstLine="560" w:firstLineChars="200"/>
        <w:jc w:val="left"/>
        <w:textAlignment w:val="auto"/>
        <w:rPr>
          <w:rFonts w:hint="eastAsia" w:asciiTheme="minorEastAsia" w:hAnsiTheme="minorEastAsia" w:eastAsiaTheme="minorEastAsia" w:cstheme="minorEastAsia"/>
          <w:b w:val="0"/>
          <w:bCs w:val="0"/>
          <w:sz w:val="28"/>
          <w:szCs w:val="28"/>
          <w:lang w:eastAsia="zh-CN"/>
        </w:rPr>
      </w:pPr>
      <w:r>
        <w:rPr>
          <w:rFonts w:hint="eastAsia" w:asciiTheme="minorEastAsia" w:hAnsiTheme="minorEastAsia" w:eastAsiaTheme="minorEastAsia" w:cstheme="minorEastAsia"/>
          <w:b w:val="0"/>
          <w:bCs w:val="0"/>
          <w:sz w:val="28"/>
          <w:szCs w:val="28"/>
          <w:lang w:val="en-US" w:eastAsia="zh-CN"/>
        </w:rPr>
        <w:t>4</w:t>
      </w:r>
      <w:r>
        <w:rPr>
          <w:rFonts w:hint="eastAsia" w:asciiTheme="minorEastAsia" w:hAnsiTheme="minorEastAsia" w:eastAsiaTheme="minorEastAsia" w:cstheme="minorEastAsia"/>
          <w:b w:val="0"/>
          <w:bCs w:val="0"/>
          <w:sz w:val="28"/>
          <w:szCs w:val="28"/>
          <w:lang w:eastAsia="zh-CN"/>
        </w:rPr>
        <w:t>.</w:t>
      </w:r>
      <w:r>
        <w:rPr>
          <w:rFonts w:hint="eastAsia" w:asciiTheme="minorEastAsia" w:hAnsiTheme="minorEastAsia" w:eastAsiaTheme="minorEastAsia" w:cstheme="minorEastAsia"/>
          <w:b w:val="0"/>
          <w:bCs w:val="0"/>
          <w:sz w:val="28"/>
          <w:szCs w:val="28"/>
          <w:lang w:val="en-US" w:eastAsia="zh-CN"/>
        </w:rPr>
        <w:t>2</w:t>
      </w:r>
      <w:r>
        <w:rPr>
          <w:rFonts w:hint="eastAsia" w:asciiTheme="minorEastAsia" w:hAnsiTheme="minorEastAsia" w:eastAsiaTheme="minorEastAsia" w:cstheme="minorEastAsia"/>
          <w:b w:val="0"/>
          <w:bCs w:val="0"/>
          <w:sz w:val="28"/>
          <w:szCs w:val="28"/>
          <w:lang w:eastAsia="zh-CN"/>
        </w:rPr>
        <w:t>.</w:t>
      </w:r>
      <w:r>
        <w:rPr>
          <w:rFonts w:hint="eastAsia" w:asciiTheme="minorEastAsia" w:hAnsiTheme="minorEastAsia" w:eastAsiaTheme="minorEastAsia" w:cstheme="minorEastAsia"/>
          <w:b w:val="0"/>
          <w:bCs w:val="0"/>
          <w:sz w:val="28"/>
          <w:szCs w:val="28"/>
          <w:lang w:val="en-US" w:eastAsia="zh-CN"/>
        </w:rPr>
        <w:t>3.1</w:t>
      </w:r>
      <w:r>
        <w:rPr>
          <w:rFonts w:hint="eastAsia" w:asciiTheme="minorEastAsia" w:hAnsiTheme="minorEastAsia" w:eastAsiaTheme="minorEastAsia" w:cstheme="minorEastAsia"/>
          <w:b w:val="0"/>
          <w:bCs w:val="0"/>
          <w:sz w:val="28"/>
          <w:szCs w:val="28"/>
          <w:lang w:eastAsia="zh-CN"/>
        </w:rPr>
        <w:t xml:space="preserve"> 预警发布</w:t>
      </w:r>
    </w:p>
    <w:p w14:paraId="7E4D0156">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橙色预警和红色预警由区政府及其指定部门发布或上级人民政府及其指定部门发布。</w:t>
      </w:r>
    </w:p>
    <w:p w14:paraId="095BA20E">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预警发布内容应包括但不限于以下内容：类别、预警级别；事件起止时间、可能影响的范围；应采取的措施和发布机关。</w:t>
      </w:r>
    </w:p>
    <w:p w14:paraId="5290242E">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预警对象：根据不同的突发水环境事件类型，对组织实施预警行动和应急处置行动的部门和单位发布预警。</w:t>
      </w:r>
    </w:p>
    <w:p w14:paraId="3194EC09">
      <w:pPr>
        <w:keepNext w:val="0"/>
        <w:keepLines w:val="0"/>
        <w:pageBreakBefore w:val="0"/>
        <w:widowControl w:val="0"/>
        <w:kinsoku/>
        <w:wordWrap/>
        <w:overflowPunct/>
        <w:topLinePunct w:val="0"/>
        <w:autoSpaceDE/>
        <w:autoSpaceDN/>
        <w:bidi w:val="0"/>
        <w:adjustRightInd/>
        <w:snapToGrid/>
        <w:spacing w:line="360" w:lineRule="auto"/>
        <w:ind w:left="0" w:firstLine="560" w:firstLineChars="200"/>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4.2.3.2 预警调整</w:t>
      </w:r>
    </w:p>
    <w:p w14:paraId="119AEEEB">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预警信息发布单位应当根据事态的发展情况和采取措施的效果，按照有关规定适时调整预警级别。证明不可能发生突发环境事件或危险已经解除的，预警信息发布单位应当及时宣布解除预警，并停止采取有关措施。</w:t>
      </w:r>
    </w:p>
    <w:p w14:paraId="12D950CD">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sz w:val="28"/>
          <w:szCs w:val="28"/>
          <w:lang w:eastAsia="zh-CN"/>
        </w:rPr>
        <w:t xml:space="preserve"> 预警行动</w:t>
      </w:r>
    </w:p>
    <w:p w14:paraId="041F873D">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发布橙色预警时，预警行动包含但不限于以下内容：通报相关部门或单位及涉事企业突发环境事件信息，指导启动本部门或单位应急预案；各有关部门或单位按照各自职责开展应急监测或做好应急监测准备；启动备用水源调度准备，调集应急处置所需物资装备，做好应急处置的保障工作；按照职责，各有关部门或单位进入待命状态，必要时到达现场开展相关工作；及时准确发布事态最新情况，加强相关舆情监测，做好舆论引导工作等。</w:t>
      </w:r>
    </w:p>
    <w:p w14:paraId="69F6831C">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发布红色预警时，预警行动包含但不限于以下内容：下达启动饮用水水源地应急预案的命令；通知有关单位和人员做好应急准备，进入待命状态，必要时到达现场开展相关工作；通知饮用水水源地供水单位进入待命状态，做好停止取水、深度处理、低压供水或启动备用水源等准备；加强信息监控，核实突发环境事件污染来源、进入水体的污染物种类和总量、污染扩散范围等信息；开展应急监测或做好应急监测准备；做好事件信息上报和通报；调集所需应急物资和设备，做好应急保障；在危险区域设置提示或警告标志；必要时，及时通过媒体向公众发布信息；加强舆情监测、引导和应对工作等。</w:t>
      </w:r>
    </w:p>
    <w:p w14:paraId="37E2DCE0">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sz w:val="28"/>
          <w:szCs w:val="28"/>
          <w:lang w:eastAsia="zh-CN"/>
        </w:rPr>
        <w:t>.2.5</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t>预警解除</w:t>
      </w:r>
    </w:p>
    <w:p w14:paraId="2F1D19E2">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bookmarkStart w:id="66" w:name="_Toc186125029"/>
      <w:bookmarkStart w:id="67" w:name="_Toc186123041"/>
      <w:bookmarkStart w:id="68" w:name="_Toc186124194"/>
      <w:bookmarkStart w:id="69" w:name="_Toc186122736"/>
      <w:r>
        <w:rPr>
          <w:rFonts w:hint="eastAsia" w:ascii="宋体" w:hAnsi="宋体" w:eastAsia="宋体" w:cs="宋体"/>
          <w:color w:val="auto"/>
          <w:sz w:val="28"/>
          <w:szCs w:val="28"/>
          <w:lang w:val="en-US" w:eastAsia="zh-CN"/>
        </w:rPr>
        <w:t>当引起预警的条件消除和各类隐患排除后，饮用水水源地水质及供水不会受到影响时，由发布预警的单位下达预警解除指令，终止已经采取的有关行动和措施。</w:t>
      </w:r>
      <w:bookmarkEnd w:id="66"/>
      <w:bookmarkEnd w:id="67"/>
      <w:bookmarkEnd w:id="68"/>
      <w:bookmarkEnd w:id="69"/>
    </w:p>
    <w:p w14:paraId="7DE44AF0">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70" w:name="_Toc186124977"/>
      <w:bookmarkStart w:id="71" w:name="_Toc186124152"/>
      <w:bookmarkStart w:id="72" w:name="_Toc186122992"/>
      <w:bookmarkStart w:id="73" w:name="_Toc25155"/>
      <w:bookmarkStart w:id="74" w:name="_Toc21449"/>
      <w:r>
        <w:rPr>
          <w:rFonts w:hint="eastAsia" w:ascii="宋体" w:hAnsi="宋体" w:eastAsia="宋体" w:cs="宋体"/>
          <w:b/>
          <w:bCs/>
          <w:color w:val="000000"/>
          <w:sz w:val="28"/>
          <w:szCs w:val="28"/>
          <w:lang w:val="en-US" w:eastAsia="zh-CN"/>
        </w:rPr>
        <w:t>4.</w:t>
      </w:r>
      <w:r>
        <w:rPr>
          <w:rFonts w:hint="eastAsia" w:ascii="宋体" w:hAnsi="宋体" w:cs="宋体"/>
          <w:b/>
          <w:bCs/>
          <w:color w:val="000000"/>
          <w:sz w:val="28"/>
          <w:szCs w:val="28"/>
          <w:lang w:val="en-US" w:eastAsia="zh-CN"/>
        </w:rPr>
        <w:t>3</w:t>
      </w:r>
      <w:r>
        <w:rPr>
          <w:rFonts w:hint="eastAsia" w:ascii="宋体" w:hAnsi="宋体" w:eastAsia="宋体" w:cs="宋体"/>
          <w:b/>
          <w:bCs/>
          <w:color w:val="000000"/>
          <w:sz w:val="28"/>
          <w:szCs w:val="28"/>
          <w:lang w:val="en-US" w:eastAsia="zh-CN"/>
        </w:rPr>
        <w:t xml:space="preserve"> </w:t>
      </w:r>
      <w:bookmarkEnd w:id="70"/>
      <w:bookmarkEnd w:id="71"/>
      <w:bookmarkEnd w:id="72"/>
      <w:r>
        <w:rPr>
          <w:rFonts w:hint="eastAsia" w:ascii="宋体" w:hAnsi="宋体" w:eastAsia="宋体" w:cs="宋体"/>
          <w:b/>
          <w:bCs/>
          <w:color w:val="000000"/>
          <w:sz w:val="28"/>
          <w:szCs w:val="28"/>
          <w:lang w:val="en-US" w:eastAsia="zh-CN"/>
        </w:rPr>
        <w:t>信息报告与通报</w:t>
      </w:r>
      <w:bookmarkEnd w:id="73"/>
      <w:bookmarkEnd w:id="74"/>
    </w:p>
    <w:p w14:paraId="4F3136C2">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4.3.1 信息报告与通报原则及对象</w:t>
      </w:r>
    </w:p>
    <w:p w14:paraId="310D896A">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突发环境事件发生后，涉事企业、生产经营者应当立即向区生态环境局（023-52226422）或区政府（023-52012345）报告事态发展情况和先期处置情况。</w:t>
      </w:r>
    </w:p>
    <w:p w14:paraId="670DEDB5">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cs="宋体"/>
          <w:color w:val="auto"/>
          <w:sz w:val="28"/>
          <w:szCs w:val="28"/>
          <w:lang w:val="en-US" w:eastAsia="zh-CN"/>
        </w:rPr>
        <w:t>五通乡</w:t>
      </w:r>
      <w:r>
        <w:rPr>
          <w:rFonts w:hint="eastAsia" w:ascii="宋体" w:hAnsi="宋体" w:eastAsia="宋体" w:cs="宋体"/>
          <w:color w:val="auto"/>
          <w:sz w:val="28"/>
          <w:szCs w:val="28"/>
          <w:lang w:val="en-US" w:eastAsia="zh-CN"/>
        </w:rPr>
        <w:t>人民政府在发现或得知水源地突发环境事件信息后，应立即进行核实，了解有关情况。核实后，第一时间向区指挥部办公室等有关部门或单位报告。经核实的水源地突发环境事件，向突发环境事件相关部门或单位进行信息通报。</w:t>
      </w:r>
      <w:r>
        <w:rPr>
          <w:rFonts w:hint="eastAsia" w:cs="宋体"/>
          <w:color w:val="auto"/>
          <w:sz w:val="28"/>
          <w:szCs w:val="28"/>
          <w:lang w:val="en-US" w:eastAsia="zh-CN"/>
        </w:rPr>
        <w:t>五通乡</w:t>
      </w:r>
      <w:r>
        <w:rPr>
          <w:rFonts w:hint="eastAsia" w:ascii="宋体" w:hAnsi="宋体" w:eastAsia="宋体" w:cs="宋体"/>
          <w:color w:val="auto"/>
          <w:sz w:val="28"/>
          <w:szCs w:val="28"/>
          <w:lang w:val="en-US" w:eastAsia="zh-CN"/>
        </w:rPr>
        <w:t>人民政府有关部门和单位要采取一切措施尽快掌握情况，30分钟内进行电话报告、1小时内进行书面报告。</w:t>
      </w:r>
    </w:p>
    <w:p w14:paraId="7771E9C2">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发生突发环境事件后，</w:t>
      </w:r>
      <w:r>
        <w:rPr>
          <w:rFonts w:hint="eastAsia" w:cs="宋体"/>
          <w:color w:val="auto"/>
          <w:sz w:val="28"/>
          <w:szCs w:val="28"/>
          <w:lang w:val="en-US" w:eastAsia="zh-CN"/>
        </w:rPr>
        <w:t>五通乡人民政府</w:t>
      </w:r>
      <w:r>
        <w:rPr>
          <w:rFonts w:hint="eastAsia" w:ascii="宋体" w:hAnsi="宋体" w:eastAsia="宋体" w:cs="宋体"/>
          <w:color w:val="auto"/>
          <w:sz w:val="28"/>
          <w:szCs w:val="28"/>
          <w:lang w:val="en-US" w:eastAsia="zh-CN"/>
        </w:rPr>
        <w:t>要及时向区生态环境局</w:t>
      </w:r>
      <w:r>
        <w:rPr>
          <w:rFonts w:hint="eastAsia" w:cs="宋体"/>
          <w:color w:val="auto"/>
          <w:sz w:val="28"/>
          <w:szCs w:val="28"/>
          <w:lang w:val="en-US" w:eastAsia="zh-CN"/>
        </w:rPr>
        <w:t>、</w:t>
      </w:r>
      <w:r>
        <w:rPr>
          <w:rFonts w:hint="eastAsia" w:ascii="宋体" w:hAnsi="宋体" w:eastAsia="宋体" w:cs="宋体"/>
          <w:color w:val="auto"/>
          <w:sz w:val="28"/>
          <w:szCs w:val="28"/>
          <w:lang w:val="en-US" w:eastAsia="zh-CN"/>
        </w:rPr>
        <w:t>区政府有关部门通报。因生产安全事故、交通事故、自然灾害等引发突发环境事件的，及时向区应急管理、公安、交通</w:t>
      </w:r>
      <w:r>
        <w:rPr>
          <w:rFonts w:hint="eastAsia" w:cs="宋体"/>
          <w:color w:val="auto"/>
          <w:sz w:val="28"/>
          <w:szCs w:val="28"/>
          <w:lang w:val="en-US" w:eastAsia="zh-CN"/>
        </w:rPr>
        <w:t>、</w:t>
      </w:r>
      <w:r>
        <w:rPr>
          <w:rFonts w:hint="eastAsia" w:ascii="宋体" w:hAnsi="宋体" w:eastAsia="宋体" w:cs="宋体"/>
          <w:color w:val="auto"/>
          <w:sz w:val="28"/>
          <w:szCs w:val="28"/>
          <w:lang w:val="en-US" w:eastAsia="zh-CN"/>
        </w:rPr>
        <w:t>生态环境局等有关部门通报。</w:t>
      </w:r>
    </w:p>
    <w:p w14:paraId="17001AF2">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突发环境事件已经或可能涉及相邻行政区域的，应当及时通报相邻行政区域政府。接到相邻行政区域通报的政府应当及时调查了解情况，并按照相关规定报告突发环境事件信息。</w:t>
      </w:r>
    </w:p>
    <w:p w14:paraId="47A4FE09">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4.3.2 信息报告与通报程序及内容</w:t>
      </w:r>
    </w:p>
    <w:p w14:paraId="7DBE2A39">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初报。报告内容主要包括水源地突发环境事件的发生时间、地点、信息来源、事件起因和性质、基本过程、主要污染物和数量、监测结果、人员伤亡情况、水源地受影响情况、事件发展趋势、处置情况、拟采取的措施以及下一步工作建议等初步情况。</w:t>
      </w:r>
    </w:p>
    <w:p w14:paraId="71639B4A">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续报。在初报的基础上，报告事件及有关处置措施的进展情况。</w:t>
      </w:r>
    </w:p>
    <w:p w14:paraId="128052F1">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终报。在初报、续报的基础上，报告突发环境事件的处置措施、过程和结果等详细情况。</w:t>
      </w:r>
    </w:p>
    <w:p w14:paraId="37AAEE2F">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75" w:name="_Toc3988"/>
      <w:bookmarkStart w:id="76" w:name="_Toc1876"/>
      <w:r>
        <w:rPr>
          <w:rFonts w:hint="eastAsia" w:ascii="宋体" w:hAnsi="宋体" w:eastAsia="宋体" w:cs="宋体"/>
          <w:b/>
          <w:bCs/>
          <w:color w:val="000000"/>
          <w:sz w:val="28"/>
          <w:szCs w:val="28"/>
          <w:lang w:val="en-US" w:eastAsia="zh-CN"/>
        </w:rPr>
        <w:t>4.4 事态跟踪研判</w:t>
      </w:r>
      <w:bookmarkEnd w:id="75"/>
      <w:bookmarkEnd w:id="76"/>
    </w:p>
    <w:p w14:paraId="378B222E">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由现场应急指挥部组织开展事态跟踪研判。事态跟踪研判包括但不限于以下内容：事故点下游沿河水利设施工程情况、判断污染物进入河流或水库的数量及种类性质、事故点下游水系分布（包括清洁水情况）、距离水源地取水口的距离和可能对水源地造成的危害，以及备用水源地情况。根据事态跟踪研判的结果，制定和动态调整应急响应有关方案、实施应急监测、污染源排查与处置和应急处置方法。</w:t>
      </w:r>
    </w:p>
    <w:p w14:paraId="4947EA00">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77" w:name="_Toc16945"/>
      <w:bookmarkStart w:id="78" w:name="_Toc451"/>
      <w:r>
        <w:rPr>
          <w:rFonts w:hint="eastAsia" w:ascii="宋体" w:hAnsi="宋体" w:cs="宋体"/>
          <w:b/>
          <w:bCs/>
          <w:color w:val="000000"/>
          <w:sz w:val="28"/>
          <w:szCs w:val="28"/>
          <w:lang w:val="en-US" w:eastAsia="zh-CN"/>
        </w:rPr>
        <w:t>4</w:t>
      </w:r>
      <w:r>
        <w:rPr>
          <w:rFonts w:hint="eastAsia" w:ascii="宋体" w:hAnsi="宋体" w:eastAsia="宋体" w:cs="宋体"/>
          <w:b/>
          <w:bCs/>
          <w:color w:val="000000"/>
          <w:sz w:val="28"/>
          <w:szCs w:val="28"/>
          <w:lang w:val="en-US" w:eastAsia="zh-CN"/>
        </w:rPr>
        <w:t>.5 应急监测</w:t>
      </w:r>
      <w:bookmarkEnd w:id="77"/>
      <w:bookmarkEnd w:id="78"/>
    </w:p>
    <w:p w14:paraId="379572DC">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4.5.1 开展应急监测程序</w:t>
      </w:r>
    </w:p>
    <w:p w14:paraId="0CFAD8D7">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事件处置初期，各有关部门或单位应按照各自职责，根据现场实际情况制定监测方案、设置监测点位（断面）、确定监测频次、组织开展监测、形成监测报告，第一时间向现场应急指挥部报告监测结果和污染浓度变化态势图，并安排人员对突发环境事件监测情况进行全过程记录。</w:t>
      </w:r>
    </w:p>
    <w:p w14:paraId="4C19C8CD">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事件处置中期，应根据事态发展，如上游来水量、应急处置措施效果等情况，适时调整监测点位（断面）和监测频次。</w:t>
      </w:r>
    </w:p>
    <w:p w14:paraId="4CFE2CAB">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事件处置末期，应按照现场应急指挥部命令，开展跟踪监测，并向现场应急指挥部提交应急监测总结报告。</w:t>
      </w:r>
    </w:p>
    <w:p w14:paraId="1372BF82">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4.5.2 制定应急监测方案</w:t>
      </w:r>
    </w:p>
    <w:p w14:paraId="1F4AFB78">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根据突发事件性质，征询应急专家组意见，编制应急监测方案，内容应包括依据的技术规范、实施人员、布点原则、采样频次和注意事项、监测结果记录和报告方式等。</w:t>
      </w:r>
    </w:p>
    <w:p w14:paraId="7AC5B23B">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应急监测重点是抓住污染带前峰、峰值位置和浓度变化，对污染带移动过程形成动态监控。当污染来源不明时，应先通过应</w:t>
      </w:r>
    </w:p>
    <w:p w14:paraId="0F9349E6">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急监测确定特征污染物成分，再进行污染源排查和先期处置。监测范围、布点、频次及监测因子按如下原则进行布置：</w:t>
      </w:r>
    </w:p>
    <w:p w14:paraId="66B613E3">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（1）监测范围</w:t>
      </w:r>
    </w:p>
    <w:p w14:paraId="02ECB9A8">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应尽量涵盖水源地突发环境事件的污染范围，并包括事件可能影响区域和污染物本底浓度的监测区域。</w:t>
      </w:r>
    </w:p>
    <w:p w14:paraId="2C9F9A65">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（2）监测布点和频次</w:t>
      </w:r>
    </w:p>
    <w:p w14:paraId="16211D5E">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以突发环境事件发生地点为中心或源头，结合水文和气象条件，在其扩散方向及可能受到影响的水源地位置合理布点，必要时在事故影响区域内水源取水口、农灌区取水口处设置监测点位（断面）。应采取不同点位（断面）相同间隔时间（一般为1小时）同步采样监测方式，动态监控污染带移动过程。</w:t>
      </w:r>
    </w:p>
    <w:p w14:paraId="51D492F8">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①针对固定源突发环境事件，应对固定源排放口附近水域、下游水源地附近水域进行加密跟踪监测。</w:t>
      </w:r>
    </w:p>
    <w:p w14:paraId="1C4E64FF">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②针对流动源、非点源突发环境事件，应对事发区域下游水域、下游水源地附近进行加密跟踪监测。</w:t>
      </w:r>
    </w:p>
    <w:p w14:paraId="2D967959">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③水华灾害突发事件若发生在一级、二级保护区范围，应对取水口不同水层进行加密跟踪监测。</w:t>
      </w:r>
    </w:p>
    <w:p w14:paraId="3563752D">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应急监测通常采集瞬时样品，采样量根据分析项目及分析方法确定，采样量还应满足留样要求。污染发生后，应首先采集污染源样品，注意采样的代表性。采样频次主要根据现场污染状况确定。事故刚发生时，采样频次可适当增加，待摸清污染物变化规律后，可减少采样频次。依据不同的环境区域功能和事故发生地的污染实际情况，力求以最低的采样频次，取得最有代表性的样品，既满足反映环境污染程度、范围的要求，又切实可行。</w:t>
      </w:r>
    </w:p>
    <w:p w14:paraId="21E724F3">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（3）现场采样</w:t>
      </w:r>
    </w:p>
    <w:p w14:paraId="71080870">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①根据我区实际，配置常用的现场应急监测仪器设备，如检测试纸、快速检测管和便携式检测仪设备。需要时，配置便携式气相色谱仪、便携式红外光谱仪、便携式气相色谱/质谱分析仪等应急监测仪器。</w:t>
      </w:r>
    </w:p>
    <w:p w14:paraId="1647EF12">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②凡具备现场测定条件的监测项目，应尽量进行现场测定，必要时，另采集一份样品送实验室分析测定，以确认现场的定性或定量分析结果。用检测试纸、快速检测管和便携式仪器进行测定时，应至少连续平行测定两侧，以确认现场测定结果。采样频次应考虑污染程度和现场水文条件，按照应急专家组的意见确定。</w:t>
      </w:r>
    </w:p>
    <w:p w14:paraId="19014393">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（4）监测项目。监测因子包括pH值、化学需氧量、氨氮、总磷、总氮等。可根据突发环境事件特征，删减或补充相关监测因子。</w:t>
      </w:r>
    </w:p>
    <w:p w14:paraId="0B2F1F7D">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（5）监测结果与数据报告。应按照有关监测技术规范进行数据处理。监测结果可用定性、半定量或定量方式报出。监测结果可采用电话、传真、快报、简报、监测报告等形式第一时间报告现场应急指挥部。</w:t>
      </w:r>
    </w:p>
    <w:p w14:paraId="0FE37EA6">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ascii="Times New Roman" w:hAnsi="Times New Roman" w:eastAsia="方正仿宋_GBK"/>
        </w:rPr>
      </w:pPr>
      <w:r>
        <w:rPr>
          <w:rFonts w:hint="eastAsia" w:ascii="宋体" w:hAnsi="宋体" w:eastAsia="宋体" w:cs="宋体"/>
          <w:color w:val="auto"/>
          <w:sz w:val="28"/>
          <w:szCs w:val="28"/>
          <w:lang w:val="en-US" w:eastAsia="zh-CN"/>
        </w:rPr>
        <w:t>（6）监测数据的质量保证。应急监测过程中的样品采集、现场监测、实验室监测、数据统计等环节，都应有质量控制措施，并对应急监测报告实行三级审核。</w:t>
      </w:r>
    </w:p>
    <w:p w14:paraId="587F4E0C">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79" w:name="_Toc14966"/>
      <w:bookmarkStart w:id="80" w:name="_Toc186123043"/>
      <w:bookmarkStart w:id="81" w:name="_Toc186122738"/>
      <w:bookmarkStart w:id="82" w:name="_Toc186125031"/>
      <w:bookmarkStart w:id="83" w:name="_Toc4315"/>
      <w:bookmarkStart w:id="84" w:name="_Toc186124196"/>
      <w:r>
        <w:rPr>
          <w:rFonts w:hint="eastAsia" w:ascii="宋体" w:hAnsi="宋体" w:eastAsia="宋体" w:cs="宋体"/>
          <w:b/>
          <w:bCs/>
          <w:color w:val="000000"/>
          <w:sz w:val="28"/>
          <w:szCs w:val="28"/>
          <w:lang w:val="en-US" w:eastAsia="zh-CN"/>
        </w:rPr>
        <w:t>4.6 事故源排查与处置</w:t>
      </w:r>
      <w:bookmarkEnd w:id="79"/>
      <w:bookmarkEnd w:id="80"/>
      <w:bookmarkEnd w:id="81"/>
      <w:bookmarkEnd w:id="82"/>
      <w:bookmarkEnd w:id="83"/>
      <w:bookmarkEnd w:id="84"/>
    </w:p>
    <w:p w14:paraId="44F090B8">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4.6.1 排查对象</w:t>
      </w:r>
    </w:p>
    <w:p w14:paraId="18248F56">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当水质监测发现异常、污染物来源不确定时，由综合协调组负责开展溯源分析。综合协调组根据应急监测确定特征污染物成分，再结合特征污染物浓度变化、释放总量、释放路径、释放时间，以及当时的水文和气象条件，迅速组织开展事故源排查。针对不同类型污染物的排查重点和对象如下。</w:t>
      </w:r>
    </w:p>
    <w:p w14:paraId="1A361135">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（1）有机类、营养盐类污染：重点排查城镇生活污水处理厂、工业企业等的异常情况。</w:t>
      </w:r>
    </w:p>
    <w:p w14:paraId="4EA2BF30">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营养盐类污染：重点排查城镇生活污水处理厂、工业企业、畜禽养殖场（户）、农田种植户、农村居民点、医疗场所等，调查污水处理设施运行、养殖废物处理处置、农药化肥施用、农村生活污染、医疗废水处理及消毒设施的异常情况。</w:t>
      </w:r>
    </w:p>
    <w:p w14:paraId="58A13297">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（3）细菌类污染：重点排查调查污水处理设施运行、医疗场所等的异常情况。</w:t>
      </w:r>
    </w:p>
    <w:p w14:paraId="7EAD0F10">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（4）农药类污染：重点排查农药制造有关的工业企业、果园种植园（户）、农田种植户、农灌退水排放口，调查农药施用和流失的异常情况。</w:t>
      </w:r>
    </w:p>
    <w:p w14:paraId="11979D1B">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（5）石油类污染：重点排查加油站、运输车辆、运输船舶、油气管线，调查上述企业和单位的异常情况。</w:t>
      </w:r>
    </w:p>
    <w:p w14:paraId="3AB75EA8">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6）重金属及其他有毒有害物质污染：重点排查采矿及选矿的工业企业（含化工园区）、尾矿库、危险废物储存单位、危险品仓库和装卸码头、危化品运输船舶、危化品运输车辆等，调查上述企业和单位的异常情况。</w:t>
      </w:r>
    </w:p>
    <w:p w14:paraId="38E223E3">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4.6.2 切断污染源</w:t>
      </w:r>
    </w:p>
    <w:p w14:paraId="0AB85508">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涉事企事业单位或其他生产经营者应第一时间启动应急预案，切断固定的、流动的或非点源的污染源或泄漏源，若涉事企事业单位或其他生产经营者无法有效控制污染源，应将污染源信息上报应急处置组，由应急处置组组织实施事故源切断或控制。处置措施主要采取切断污染源、收集和围堵污染物等，包括但不限于以下内容。</w:t>
      </w:r>
    </w:p>
    <w:p w14:paraId="6C12A141">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（1）对发生非正常排放或有毒有害物质泄漏的固定源突发环境事件，应尽快采取关闭、封堵、收集、转移等措施，切断污染源或泄漏源。</w:t>
      </w:r>
    </w:p>
    <w:p w14:paraId="363FCD59">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（2）对道路交通运输过程中发生的流动源突发事件，可启动路面系统的导流槽、应急池或紧急设置围堰、闸坝等，对污染源进行围堵并收集污染物。</w:t>
      </w:r>
    </w:p>
    <w:p w14:paraId="0D3856D3">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（3）对水上船舶运输过程中发生的流动源突发事件，主要采取救援打捞、油毡吸附、围油栏等方式，对污染源进行围堵并收集污染物。</w:t>
      </w:r>
    </w:p>
    <w:p w14:paraId="0EE82A30">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（4）启动应急收集系统集中收集陆域污染物，设立拦截设施，防止污染物在陆域蔓延，组织有关部门对污染物进行回收处置。</w:t>
      </w:r>
    </w:p>
    <w:p w14:paraId="51FBE523">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（5）根据现场事态发展对扩散至水体的污染物进行处置。</w:t>
      </w:r>
    </w:p>
    <w:p w14:paraId="7C0469B5">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85" w:name="_Toc186123044"/>
      <w:bookmarkStart w:id="86" w:name="_Toc186125032"/>
      <w:bookmarkStart w:id="87" w:name="_Toc186124197"/>
      <w:bookmarkStart w:id="88" w:name="_Toc6985"/>
      <w:bookmarkStart w:id="89" w:name="_Toc8909"/>
      <w:bookmarkStart w:id="90" w:name="_Toc186122739"/>
      <w:bookmarkStart w:id="91" w:name="_Toc28365"/>
      <w:r>
        <w:rPr>
          <w:rFonts w:hint="eastAsia" w:ascii="宋体" w:hAnsi="宋体" w:cs="宋体"/>
          <w:b/>
          <w:bCs/>
          <w:color w:val="000000"/>
          <w:sz w:val="28"/>
          <w:szCs w:val="28"/>
          <w:lang w:val="en-US" w:eastAsia="zh-CN"/>
        </w:rPr>
        <w:t>4</w:t>
      </w:r>
      <w:r>
        <w:rPr>
          <w:rFonts w:hint="eastAsia" w:ascii="宋体" w:hAnsi="宋体" w:eastAsia="宋体" w:cs="宋体"/>
          <w:b/>
          <w:bCs/>
          <w:color w:val="000000"/>
          <w:sz w:val="28"/>
          <w:szCs w:val="28"/>
          <w:lang w:val="en-US" w:eastAsia="zh-CN"/>
        </w:rPr>
        <w:t>.7 应急处置</w:t>
      </w:r>
      <w:bookmarkEnd w:id="85"/>
      <w:bookmarkEnd w:id="86"/>
      <w:bookmarkEnd w:id="87"/>
      <w:bookmarkEnd w:id="88"/>
      <w:bookmarkEnd w:id="89"/>
      <w:bookmarkEnd w:id="90"/>
      <w:bookmarkEnd w:id="91"/>
    </w:p>
    <w:p w14:paraId="02BD70EE">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4.7.1 制定现场处置方案</w:t>
      </w:r>
    </w:p>
    <w:p w14:paraId="6DB11F11">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现场应急指挥部应根据污染特征，结合专家组意见，尽快制定现场处置方案。现场处置方案包括但不限于以下内容：应急监测、污染处置措施、物资调集、应急队伍和人员安排、供水单位应对等。采取拦截、导流、疏浚等形式防止水体污染扩大；采取隔离、吸附、打捞、氧化还原、中和、去污洗消、临时收贮、转移异地处置、临时改造污染处置工艺或临时建设污染处置工程等方法处置污染物。必要时，要求其他排污单位停产、限产、限排，减轻环境污染负荷。水源地突发环境事故典型情景及应对处置措施如下。</w:t>
      </w:r>
    </w:p>
    <w:p w14:paraId="4604E357">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（1）水华灾害突发事件。</w:t>
      </w:r>
    </w:p>
    <w:p w14:paraId="567CCFD0">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依据HJ1098水华程度分级标准及相关技术规范，对一级、二级水源保护区发生轻度水华的区域，定期、不定期组织重点水域岸线巡查及湖面观测；在重点水域组织增氧曝气作业，在满足防汛等安全的条件下，加大重点水域水体置换流量，改善水动力条件；加大重点水域藻类拦截、藻水打捞、藻水处理等作业量。对一级、二级水源保护区发生中度水华的区域，驻守重点水域，组织岸线巡查，直至水华消退；加大重点水域增氧曝气作业量；在满足防汛等安全的条件下，持续加大重点水域水体置换流量，改善水动力条件；在驻守处理的基础上，增配人员、物资、设施设备等机动力量，持续加大重点水域藻类拦截、藻水打捞、藻水处理等的作业量；加强湖面观测，及时组织藻类围捕作业。对一级、二级水源保护区的发生重度水华区域，驻守重点水域，加大组织岸线巡查力度，直至水华消退；集中调配人员、物资、设施设备等机动力量，依据水库水域功能分区及敏感程度，以防范藻类水华大面积、高密度堆积，发白发臭为目标，渐次保障重点水域；重点水域持续加大增氧曝气作业量；在满足防汛等安全的条件下，持续加大重点水域水体置换流量，改善水动力条件；藻水打捞、藻水处理等设施设备，保持满负荷运行，驻守湖面观测，持续组织藻类围捕作业。</w:t>
      </w:r>
    </w:p>
    <w:p w14:paraId="5C2F7F3F">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（2）油类污染事件</w:t>
      </w:r>
    </w:p>
    <w:p w14:paraId="02547A52">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当油污呈连续带状分布时，在取水口铺设拦油隔离设施，驱离油污，并实时观察反应池和沉淀池池面情况；当出现大量油污，整个水源地油污呈面状分布时，在取水口围油设施内铺设吸油毡，油污进入沉淀池时增加吸油毡铺设，以不进入集水槽为原则；若含油污水进入反应池后半部，一泵停止取水，在取水口水面铺设围油栏，水厂投加粉末活性炭，投率为15公斤/千吨~20公斤/千吨。</w:t>
      </w:r>
    </w:p>
    <w:p w14:paraId="3FC173E3">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（3）水体内污染物治理、总量或浓度削减</w:t>
      </w:r>
    </w:p>
    <w:p w14:paraId="6258CD02">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根据应急专家组等意见，制定综合处置方案，经现场应急指挥部确认后实施。一般采取隔离、吸附、打捞、扰动等物理方法，氧化、沉淀等化学方法，利用湿地生物群消解等生物方法和上游调水等稀释方法，可以采取一种或多种方式，力争短时间内削减污染物浓度。</w:t>
      </w:r>
    </w:p>
    <w:p w14:paraId="58A5ABC2">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应急工程设施拦截污染水体。结合涉饮用水水源地河流的“一河一图一策”应急响应方案，充分利用流域环境应急设施和空间，在河道内启用或修建拦截坝、节制闸等工程设施拦截污染水体；通过导流渠将未受污染水体导流至污染水体下游，通过分流沟将污染水体分流至水源保护区外进行收集处置；利用前置库、缓冲池等工程设施，降低污染水体的污染物浓度，为应急处置争取时间。</w:t>
      </w:r>
    </w:p>
    <w:p w14:paraId="0456DDAD">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（5）饮用水水源深度处置。在水质受污染程度不严重的情况，采用深度处理工艺（如臭氧-活性炭技术、生物活性炭技术、膜分离技术等）对来水进行处理，确保水厂出水水质达标。</w:t>
      </w:r>
    </w:p>
    <w:p w14:paraId="4BE9E76D">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针对污染物可采取的物理、化学、生物处理技术如表</w:t>
      </w:r>
      <w:r>
        <w:rPr>
          <w:rFonts w:hint="eastAsia" w:cs="宋体"/>
          <w:color w:val="auto"/>
          <w:sz w:val="28"/>
          <w:szCs w:val="28"/>
          <w:lang w:val="en-US" w:eastAsia="zh-CN"/>
        </w:rPr>
        <w:t>4.1</w:t>
      </w:r>
      <w:r>
        <w:rPr>
          <w:rFonts w:hint="eastAsia" w:ascii="宋体" w:hAnsi="宋体" w:eastAsia="宋体" w:cs="宋体"/>
          <w:color w:val="auto"/>
          <w:sz w:val="28"/>
          <w:szCs w:val="28"/>
          <w:lang w:val="en-US" w:eastAsia="zh-CN"/>
        </w:rPr>
        <w:t>-1所示。</w:t>
      </w:r>
    </w:p>
    <w:p w14:paraId="19A28811">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482" w:firstLineChars="200"/>
        <w:jc w:val="center"/>
        <w:textAlignment w:val="auto"/>
        <w:outlineLvl w:val="9"/>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表</w:t>
      </w:r>
      <w:r>
        <w:rPr>
          <w:rFonts w:hint="eastAsia" w:cs="宋体"/>
          <w:b/>
          <w:bCs/>
          <w:color w:val="auto"/>
          <w:sz w:val="24"/>
          <w:szCs w:val="24"/>
          <w:lang w:val="en-US" w:eastAsia="zh-CN"/>
        </w:rPr>
        <w:t xml:space="preserve"> </w:t>
      </w:r>
      <w:r>
        <w:rPr>
          <w:rFonts w:hint="eastAsia" w:ascii="宋体" w:hAnsi="宋体" w:eastAsia="宋体" w:cs="宋体"/>
          <w:b/>
          <w:bCs/>
          <w:color w:val="auto"/>
          <w:sz w:val="24"/>
          <w:szCs w:val="24"/>
          <w:lang w:val="en-US" w:eastAsia="zh-CN"/>
        </w:rPr>
        <w:t>4.1-1</w:t>
      </w:r>
      <w:r>
        <w:rPr>
          <w:rFonts w:hint="eastAsia" w:cs="宋体"/>
          <w:b/>
          <w:bCs/>
          <w:color w:val="auto"/>
          <w:sz w:val="24"/>
          <w:szCs w:val="24"/>
          <w:lang w:val="en-US" w:eastAsia="zh-CN"/>
        </w:rPr>
        <w:t xml:space="preserve"> </w:t>
      </w:r>
      <w:r>
        <w:rPr>
          <w:rFonts w:hint="eastAsia" w:ascii="宋体" w:hAnsi="宋体" w:eastAsia="宋体" w:cs="宋体"/>
          <w:b/>
          <w:bCs/>
          <w:color w:val="auto"/>
          <w:sz w:val="24"/>
          <w:szCs w:val="24"/>
          <w:lang w:val="en-US" w:eastAsia="zh-CN"/>
        </w:rPr>
        <w:t>适用于处理不同超标项目的推荐技术</w:t>
      </w:r>
    </w:p>
    <w:tbl>
      <w:tblPr>
        <w:tblStyle w:val="16"/>
        <w:tblW w:w="8504"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023"/>
        <w:gridCol w:w="6481"/>
      </w:tblGrid>
      <w:tr w14:paraId="7A37DA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0" w:hRule="atLeast"/>
          <w:jc w:val="center"/>
        </w:trPr>
        <w:tc>
          <w:tcPr>
            <w:tcW w:w="2023" w:type="dxa"/>
            <w:tcBorders>
              <w:bottom w:val="single" w:color="000000" w:sz="4" w:space="0"/>
              <w:right w:val="single" w:color="000000" w:sz="4" w:space="0"/>
            </w:tcBorders>
            <w:noWrap w:val="0"/>
            <w:vAlign w:val="center"/>
          </w:tcPr>
          <w:p w14:paraId="54F1D472">
            <w:pPr>
              <w:pStyle w:val="27"/>
              <w:keepNext w:val="0"/>
              <w:keepLines w:val="0"/>
              <w:pageBreakBefore w:val="0"/>
              <w:widowControl w:val="0"/>
              <w:kinsoku/>
              <w:wordWrap/>
              <w:overflowPunct/>
              <w:topLinePunct w:val="0"/>
              <w:autoSpaceDE w:val="0"/>
              <w:autoSpaceDN w:val="0"/>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超标项目</w:t>
            </w:r>
          </w:p>
        </w:tc>
        <w:tc>
          <w:tcPr>
            <w:tcW w:w="6481" w:type="dxa"/>
            <w:tcBorders>
              <w:left w:val="single" w:color="000000" w:sz="4" w:space="0"/>
              <w:bottom w:val="single" w:color="000000" w:sz="4" w:space="0"/>
            </w:tcBorders>
            <w:noWrap w:val="0"/>
            <w:vAlign w:val="center"/>
          </w:tcPr>
          <w:p w14:paraId="41DC4289">
            <w:pPr>
              <w:pStyle w:val="27"/>
              <w:keepNext w:val="0"/>
              <w:keepLines w:val="0"/>
              <w:pageBreakBefore w:val="0"/>
              <w:widowControl w:val="0"/>
              <w:tabs>
                <w:tab w:val="left" w:pos="556"/>
                <w:tab w:val="left" w:pos="1108"/>
                <w:tab w:val="left" w:pos="1660"/>
              </w:tabs>
              <w:kinsoku/>
              <w:wordWrap/>
              <w:overflowPunct/>
              <w:topLinePunct w:val="0"/>
              <w:autoSpaceDE w:val="0"/>
              <w:autoSpaceDN w:val="0"/>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推</w:t>
            </w:r>
            <w:r>
              <w:rPr>
                <w:rFonts w:hint="eastAsia" w:ascii="宋体" w:hAnsi="宋体" w:eastAsia="宋体" w:cs="宋体"/>
                <w:sz w:val="21"/>
                <w:szCs w:val="21"/>
              </w:rPr>
              <w:tab/>
            </w:r>
            <w:r>
              <w:rPr>
                <w:rFonts w:hint="eastAsia" w:ascii="宋体" w:hAnsi="宋体" w:eastAsia="宋体" w:cs="宋体"/>
                <w:sz w:val="21"/>
                <w:szCs w:val="21"/>
              </w:rPr>
              <w:t>荐</w:t>
            </w:r>
            <w:r>
              <w:rPr>
                <w:rFonts w:hint="eastAsia" w:ascii="宋体" w:hAnsi="宋体" w:eastAsia="宋体" w:cs="宋体"/>
                <w:sz w:val="21"/>
                <w:szCs w:val="21"/>
              </w:rPr>
              <w:tab/>
            </w:r>
            <w:r>
              <w:rPr>
                <w:rFonts w:hint="eastAsia" w:ascii="宋体" w:hAnsi="宋体" w:eastAsia="宋体" w:cs="宋体"/>
                <w:sz w:val="21"/>
                <w:szCs w:val="21"/>
              </w:rPr>
              <w:t>技</w:t>
            </w:r>
            <w:r>
              <w:rPr>
                <w:rFonts w:hint="eastAsia" w:ascii="宋体" w:hAnsi="宋体" w:eastAsia="宋体" w:cs="宋体"/>
                <w:sz w:val="21"/>
                <w:szCs w:val="21"/>
              </w:rPr>
              <w:tab/>
            </w:r>
            <w:r>
              <w:rPr>
                <w:rFonts w:hint="eastAsia" w:ascii="宋体" w:hAnsi="宋体" w:eastAsia="宋体" w:cs="宋体"/>
                <w:sz w:val="21"/>
                <w:szCs w:val="21"/>
              </w:rPr>
              <w:t>术</w:t>
            </w:r>
          </w:p>
        </w:tc>
      </w:tr>
      <w:tr w14:paraId="701BAC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0" w:hRule="atLeast"/>
          <w:jc w:val="center"/>
        </w:trPr>
        <w:tc>
          <w:tcPr>
            <w:tcW w:w="2023" w:type="dxa"/>
            <w:tcBorders>
              <w:top w:val="single" w:color="000000" w:sz="4" w:space="0"/>
              <w:bottom w:val="single" w:color="000000" w:sz="4" w:space="0"/>
              <w:right w:val="single" w:color="000000" w:sz="4" w:space="0"/>
            </w:tcBorders>
            <w:noWrap w:val="0"/>
            <w:vAlign w:val="center"/>
          </w:tcPr>
          <w:p w14:paraId="1300F091">
            <w:pPr>
              <w:pStyle w:val="27"/>
              <w:keepNext w:val="0"/>
              <w:keepLines w:val="0"/>
              <w:pageBreakBefore w:val="0"/>
              <w:widowControl w:val="0"/>
              <w:kinsoku/>
              <w:wordWrap/>
              <w:overflowPunct/>
              <w:topLinePunct w:val="0"/>
              <w:autoSpaceDE w:val="0"/>
              <w:autoSpaceDN w:val="0"/>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浊度</w:t>
            </w:r>
          </w:p>
        </w:tc>
        <w:tc>
          <w:tcPr>
            <w:tcW w:w="6481" w:type="dxa"/>
            <w:tcBorders>
              <w:top w:val="single" w:color="000000" w:sz="4" w:space="0"/>
              <w:left w:val="single" w:color="000000" w:sz="4" w:space="0"/>
              <w:bottom w:val="single" w:color="000000" w:sz="4" w:space="0"/>
            </w:tcBorders>
            <w:noWrap w:val="0"/>
            <w:vAlign w:val="center"/>
          </w:tcPr>
          <w:p w14:paraId="2F7E111A">
            <w:pPr>
              <w:pStyle w:val="27"/>
              <w:keepNext w:val="0"/>
              <w:keepLines w:val="0"/>
              <w:pageBreakBefore w:val="0"/>
              <w:widowControl w:val="0"/>
              <w:kinsoku/>
              <w:wordWrap/>
              <w:overflowPunct/>
              <w:topLinePunct w:val="0"/>
              <w:autoSpaceDE w:val="0"/>
              <w:autoSpaceDN w:val="0"/>
              <w:bidi w:val="0"/>
              <w:adjustRightInd/>
              <w:snapToGrid/>
              <w:spacing w:line="24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快速砂滤池、絮凝、沉淀、过滤</w:t>
            </w:r>
          </w:p>
        </w:tc>
      </w:tr>
      <w:tr w14:paraId="6CD9E1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0" w:hRule="atLeast"/>
          <w:jc w:val="center"/>
        </w:trPr>
        <w:tc>
          <w:tcPr>
            <w:tcW w:w="2023" w:type="dxa"/>
            <w:tcBorders>
              <w:top w:val="single" w:color="000000" w:sz="4" w:space="0"/>
              <w:bottom w:val="single" w:color="000000" w:sz="4" w:space="0"/>
              <w:right w:val="single" w:color="000000" w:sz="4" w:space="0"/>
            </w:tcBorders>
            <w:noWrap w:val="0"/>
            <w:vAlign w:val="center"/>
          </w:tcPr>
          <w:p w14:paraId="490B1130">
            <w:pPr>
              <w:pStyle w:val="27"/>
              <w:keepNext w:val="0"/>
              <w:keepLines w:val="0"/>
              <w:pageBreakBefore w:val="0"/>
              <w:widowControl w:val="0"/>
              <w:kinsoku/>
              <w:wordWrap/>
              <w:overflowPunct/>
              <w:topLinePunct w:val="0"/>
              <w:autoSpaceDE w:val="0"/>
              <w:autoSpaceDN w:val="0"/>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色度</w:t>
            </w:r>
          </w:p>
        </w:tc>
        <w:tc>
          <w:tcPr>
            <w:tcW w:w="6481" w:type="dxa"/>
            <w:tcBorders>
              <w:top w:val="single" w:color="000000" w:sz="4" w:space="0"/>
              <w:left w:val="single" w:color="000000" w:sz="4" w:space="0"/>
              <w:bottom w:val="single" w:color="000000" w:sz="4" w:space="0"/>
            </w:tcBorders>
            <w:noWrap w:val="0"/>
            <w:vAlign w:val="center"/>
          </w:tcPr>
          <w:p w14:paraId="38DC9726">
            <w:pPr>
              <w:pStyle w:val="27"/>
              <w:keepNext w:val="0"/>
              <w:keepLines w:val="0"/>
              <w:pageBreakBefore w:val="0"/>
              <w:widowControl w:val="0"/>
              <w:kinsoku/>
              <w:wordWrap/>
              <w:overflowPunct/>
              <w:topLinePunct w:val="0"/>
              <w:autoSpaceDE w:val="0"/>
              <w:autoSpaceDN w:val="0"/>
              <w:bidi w:val="0"/>
              <w:adjustRightInd/>
              <w:snapToGrid/>
              <w:spacing w:line="240" w:lineRule="atLeast"/>
              <w:textAlignment w:val="auto"/>
              <w:rPr>
                <w:rFonts w:hint="eastAsia" w:ascii="宋体" w:hAnsi="宋体" w:eastAsia="宋体" w:cs="宋体"/>
                <w:sz w:val="21"/>
                <w:szCs w:val="21"/>
                <w:lang w:eastAsia="zh-CN"/>
              </w:rPr>
            </w:pPr>
            <w:r>
              <w:rPr>
                <w:rFonts w:hint="eastAsia" w:ascii="宋体" w:hAnsi="宋体" w:eastAsia="宋体" w:cs="宋体"/>
                <w:spacing w:val="-19"/>
                <w:sz w:val="21"/>
                <w:szCs w:val="21"/>
                <w:lang w:eastAsia="zh-CN"/>
              </w:rPr>
              <w:t>快速砂滤池、絮凝；活性炭吸附；化学氧化预处理：臭氧、氯、高锰酸钾、</w:t>
            </w:r>
            <w:r>
              <w:rPr>
                <w:rFonts w:hint="eastAsia" w:ascii="宋体" w:hAnsi="宋体" w:eastAsia="宋体" w:cs="宋体"/>
                <w:spacing w:val="-5"/>
                <w:sz w:val="21"/>
                <w:szCs w:val="21"/>
                <w:lang w:eastAsia="zh-CN"/>
              </w:rPr>
              <w:t>二氧化氯</w:t>
            </w:r>
          </w:p>
        </w:tc>
      </w:tr>
      <w:tr w14:paraId="5867F3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0" w:hRule="atLeast"/>
          <w:jc w:val="center"/>
        </w:trPr>
        <w:tc>
          <w:tcPr>
            <w:tcW w:w="2023" w:type="dxa"/>
            <w:tcBorders>
              <w:top w:val="single" w:color="000000" w:sz="4" w:space="0"/>
              <w:bottom w:val="single" w:color="000000" w:sz="4" w:space="0"/>
              <w:right w:val="single" w:color="000000" w:sz="4" w:space="0"/>
            </w:tcBorders>
            <w:noWrap w:val="0"/>
            <w:vAlign w:val="center"/>
          </w:tcPr>
          <w:p w14:paraId="016DCF2D">
            <w:pPr>
              <w:pStyle w:val="27"/>
              <w:keepNext w:val="0"/>
              <w:keepLines w:val="0"/>
              <w:pageBreakBefore w:val="0"/>
              <w:widowControl w:val="0"/>
              <w:kinsoku/>
              <w:wordWrap/>
              <w:overflowPunct/>
              <w:topLinePunct w:val="0"/>
              <w:autoSpaceDE w:val="0"/>
              <w:autoSpaceDN w:val="0"/>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嗅味</w:t>
            </w:r>
          </w:p>
        </w:tc>
        <w:tc>
          <w:tcPr>
            <w:tcW w:w="6481" w:type="dxa"/>
            <w:tcBorders>
              <w:top w:val="single" w:color="000000" w:sz="4" w:space="0"/>
              <w:left w:val="single" w:color="000000" w:sz="4" w:space="0"/>
              <w:bottom w:val="single" w:color="000000" w:sz="4" w:space="0"/>
            </w:tcBorders>
            <w:noWrap w:val="0"/>
            <w:vAlign w:val="center"/>
          </w:tcPr>
          <w:p w14:paraId="1263DEA8">
            <w:pPr>
              <w:pStyle w:val="27"/>
              <w:keepNext w:val="0"/>
              <w:keepLines w:val="0"/>
              <w:pageBreakBefore w:val="0"/>
              <w:widowControl w:val="0"/>
              <w:kinsoku/>
              <w:wordWrap/>
              <w:overflowPunct/>
              <w:topLinePunct w:val="0"/>
              <w:autoSpaceDE w:val="0"/>
              <w:autoSpaceDN w:val="0"/>
              <w:bidi w:val="0"/>
              <w:adjustRightInd/>
              <w:snapToGrid/>
              <w:spacing w:line="24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化学氧化预处理：臭氧、氯、高锰酸钾、二氧化氯、活性炭</w:t>
            </w:r>
          </w:p>
        </w:tc>
      </w:tr>
      <w:tr w14:paraId="35D253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0" w:hRule="atLeast"/>
          <w:jc w:val="center"/>
        </w:trPr>
        <w:tc>
          <w:tcPr>
            <w:tcW w:w="2023" w:type="dxa"/>
            <w:tcBorders>
              <w:top w:val="single" w:color="000000" w:sz="4" w:space="0"/>
              <w:bottom w:val="single" w:color="000000" w:sz="4" w:space="0"/>
              <w:right w:val="single" w:color="000000" w:sz="4" w:space="0"/>
            </w:tcBorders>
            <w:noWrap w:val="0"/>
            <w:vAlign w:val="center"/>
          </w:tcPr>
          <w:p w14:paraId="5C7E674B">
            <w:pPr>
              <w:pStyle w:val="27"/>
              <w:keepNext w:val="0"/>
              <w:keepLines w:val="0"/>
              <w:pageBreakBefore w:val="0"/>
              <w:widowControl w:val="0"/>
              <w:kinsoku/>
              <w:wordWrap/>
              <w:overflowPunct/>
              <w:topLinePunct w:val="0"/>
              <w:autoSpaceDE w:val="0"/>
              <w:autoSpaceDN w:val="0"/>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氟化物</w:t>
            </w:r>
          </w:p>
        </w:tc>
        <w:tc>
          <w:tcPr>
            <w:tcW w:w="6481" w:type="dxa"/>
            <w:tcBorders>
              <w:top w:val="single" w:color="000000" w:sz="4" w:space="0"/>
              <w:left w:val="single" w:color="000000" w:sz="4" w:space="0"/>
              <w:bottom w:val="single" w:color="000000" w:sz="4" w:space="0"/>
            </w:tcBorders>
            <w:noWrap w:val="0"/>
            <w:vAlign w:val="center"/>
          </w:tcPr>
          <w:p w14:paraId="4BED83C9">
            <w:pPr>
              <w:pStyle w:val="27"/>
              <w:keepNext w:val="0"/>
              <w:keepLines w:val="0"/>
              <w:pageBreakBefore w:val="0"/>
              <w:widowControl w:val="0"/>
              <w:kinsoku/>
              <w:wordWrap/>
              <w:overflowPunct/>
              <w:topLinePunct w:val="0"/>
              <w:autoSpaceDE w:val="0"/>
              <w:autoSpaceDN w:val="0"/>
              <w:bidi w:val="0"/>
              <w:adjustRightInd/>
              <w:snapToGrid/>
              <w:spacing w:line="240" w:lineRule="atLeast"/>
              <w:textAlignment w:val="auto"/>
              <w:rPr>
                <w:rFonts w:hint="eastAsia" w:ascii="宋体" w:hAnsi="宋体" w:eastAsia="宋体" w:cs="宋体"/>
                <w:sz w:val="21"/>
                <w:szCs w:val="21"/>
                <w:lang w:eastAsia="zh-CN"/>
              </w:rPr>
            </w:pPr>
            <w:r>
              <w:rPr>
                <w:rFonts w:hint="eastAsia" w:ascii="宋体" w:hAnsi="宋体" w:eastAsia="宋体" w:cs="宋体"/>
                <w:spacing w:val="-15"/>
                <w:sz w:val="21"/>
                <w:szCs w:val="21"/>
                <w:lang w:eastAsia="zh-CN"/>
              </w:rPr>
              <w:t>吸附法：氧化铝、磷酸二钙；混凝沉淀法：硫酸铝、聚合氯化铝；离子交</w:t>
            </w:r>
            <w:r>
              <w:rPr>
                <w:rFonts w:hint="eastAsia" w:ascii="宋体" w:hAnsi="宋体" w:eastAsia="宋体" w:cs="宋体"/>
                <w:spacing w:val="-6"/>
                <w:sz w:val="21"/>
                <w:szCs w:val="21"/>
                <w:lang w:eastAsia="zh-CN"/>
              </w:rPr>
              <w:t>换法；电渗析法</w:t>
            </w:r>
          </w:p>
        </w:tc>
      </w:tr>
      <w:tr w14:paraId="4C1D00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0" w:hRule="atLeast"/>
          <w:jc w:val="center"/>
        </w:trPr>
        <w:tc>
          <w:tcPr>
            <w:tcW w:w="2023" w:type="dxa"/>
            <w:tcBorders>
              <w:top w:val="single" w:color="000000" w:sz="4" w:space="0"/>
              <w:bottom w:val="single" w:color="000000" w:sz="4" w:space="0"/>
              <w:right w:val="single" w:color="000000" w:sz="4" w:space="0"/>
            </w:tcBorders>
            <w:noWrap w:val="0"/>
            <w:vAlign w:val="center"/>
          </w:tcPr>
          <w:p w14:paraId="395265D5">
            <w:pPr>
              <w:pStyle w:val="27"/>
              <w:keepNext w:val="0"/>
              <w:keepLines w:val="0"/>
              <w:pageBreakBefore w:val="0"/>
              <w:widowControl w:val="0"/>
              <w:kinsoku/>
              <w:wordWrap/>
              <w:overflowPunct/>
              <w:topLinePunct w:val="0"/>
              <w:autoSpaceDE w:val="0"/>
              <w:autoSpaceDN w:val="0"/>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氨氮</w:t>
            </w:r>
          </w:p>
        </w:tc>
        <w:tc>
          <w:tcPr>
            <w:tcW w:w="6481" w:type="dxa"/>
            <w:tcBorders>
              <w:top w:val="single" w:color="000000" w:sz="4" w:space="0"/>
              <w:left w:val="single" w:color="000000" w:sz="4" w:space="0"/>
              <w:bottom w:val="single" w:color="000000" w:sz="4" w:space="0"/>
            </w:tcBorders>
            <w:noWrap w:val="0"/>
            <w:vAlign w:val="center"/>
          </w:tcPr>
          <w:p w14:paraId="3B729F9A">
            <w:pPr>
              <w:pStyle w:val="27"/>
              <w:keepNext w:val="0"/>
              <w:keepLines w:val="0"/>
              <w:pageBreakBefore w:val="0"/>
              <w:widowControl w:val="0"/>
              <w:kinsoku/>
              <w:wordWrap/>
              <w:overflowPunct/>
              <w:topLinePunct w:val="0"/>
              <w:autoSpaceDE w:val="0"/>
              <w:autoSpaceDN w:val="0"/>
              <w:bidi w:val="0"/>
              <w:adjustRightInd/>
              <w:snapToGrid/>
              <w:spacing w:line="24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化学氧化预处理：氯、高锰酸钾；深度处理：臭氧-生物活性炭</w:t>
            </w:r>
          </w:p>
        </w:tc>
      </w:tr>
      <w:tr w14:paraId="5D3951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0" w:hRule="atLeast"/>
          <w:jc w:val="center"/>
        </w:trPr>
        <w:tc>
          <w:tcPr>
            <w:tcW w:w="2023" w:type="dxa"/>
            <w:tcBorders>
              <w:top w:val="single" w:color="000000" w:sz="4" w:space="0"/>
              <w:bottom w:val="single" w:color="000000" w:sz="4" w:space="0"/>
              <w:right w:val="single" w:color="000000" w:sz="4" w:space="0"/>
            </w:tcBorders>
            <w:noWrap w:val="0"/>
            <w:vAlign w:val="center"/>
          </w:tcPr>
          <w:p w14:paraId="369657E5">
            <w:pPr>
              <w:pStyle w:val="27"/>
              <w:keepNext w:val="0"/>
              <w:keepLines w:val="0"/>
              <w:pageBreakBefore w:val="0"/>
              <w:widowControl w:val="0"/>
              <w:kinsoku/>
              <w:wordWrap/>
              <w:overflowPunct/>
              <w:topLinePunct w:val="0"/>
              <w:autoSpaceDE w:val="0"/>
              <w:autoSpaceDN w:val="0"/>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铁、锰</w:t>
            </w:r>
          </w:p>
        </w:tc>
        <w:tc>
          <w:tcPr>
            <w:tcW w:w="6481" w:type="dxa"/>
            <w:tcBorders>
              <w:top w:val="single" w:color="000000" w:sz="4" w:space="0"/>
              <w:left w:val="single" w:color="000000" w:sz="4" w:space="0"/>
              <w:bottom w:val="single" w:color="000000" w:sz="4" w:space="0"/>
            </w:tcBorders>
            <w:noWrap w:val="0"/>
            <w:vAlign w:val="center"/>
          </w:tcPr>
          <w:p w14:paraId="0D44FD25">
            <w:pPr>
              <w:pStyle w:val="27"/>
              <w:keepNext w:val="0"/>
              <w:keepLines w:val="0"/>
              <w:pageBreakBefore w:val="0"/>
              <w:widowControl w:val="0"/>
              <w:kinsoku/>
              <w:wordWrap/>
              <w:overflowPunct/>
              <w:topLinePunct w:val="0"/>
              <w:autoSpaceDE w:val="0"/>
              <w:autoSpaceDN w:val="0"/>
              <w:bidi w:val="0"/>
              <w:adjustRightInd/>
              <w:snapToGrid/>
              <w:spacing w:line="24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锰砂；化学氧化预处理：氯、高锰酸钾；深度处理：臭氧-生物活性炭</w:t>
            </w:r>
          </w:p>
        </w:tc>
      </w:tr>
      <w:tr w14:paraId="71B55F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0" w:hRule="atLeast"/>
          <w:jc w:val="center"/>
        </w:trPr>
        <w:tc>
          <w:tcPr>
            <w:tcW w:w="2023" w:type="dxa"/>
            <w:tcBorders>
              <w:top w:val="single" w:color="000000" w:sz="4" w:space="0"/>
              <w:bottom w:val="single" w:color="000000" w:sz="4" w:space="0"/>
              <w:right w:val="single" w:color="000000" w:sz="4" w:space="0"/>
            </w:tcBorders>
            <w:noWrap w:val="0"/>
            <w:vAlign w:val="center"/>
          </w:tcPr>
          <w:p w14:paraId="1BFB9297">
            <w:pPr>
              <w:pStyle w:val="27"/>
              <w:keepNext w:val="0"/>
              <w:keepLines w:val="0"/>
              <w:pageBreakBefore w:val="0"/>
              <w:widowControl w:val="0"/>
              <w:kinsoku/>
              <w:wordWrap/>
              <w:overflowPunct/>
              <w:topLinePunct w:val="0"/>
              <w:autoSpaceDE w:val="0"/>
              <w:autoSpaceDN w:val="0"/>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挥发性有机物</w:t>
            </w:r>
          </w:p>
        </w:tc>
        <w:tc>
          <w:tcPr>
            <w:tcW w:w="6481" w:type="dxa"/>
            <w:tcBorders>
              <w:top w:val="single" w:color="000000" w:sz="4" w:space="0"/>
              <w:left w:val="single" w:color="000000" w:sz="4" w:space="0"/>
              <w:bottom w:val="single" w:color="000000" w:sz="4" w:space="0"/>
            </w:tcBorders>
            <w:noWrap w:val="0"/>
            <w:vAlign w:val="center"/>
          </w:tcPr>
          <w:p w14:paraId="1D2DAFF8">
            <w:pPr>
              <w:pStyle w:val="27"/>
              <w:keepNext w:val="0"/>
              <w:keepLines w:val="0"/>
              <w:pageBreakBefore w:val="0"/>
              <w:widowControl w:val="0"/>
              <w:kinsoku/>
              <w:wordWrap/>
              <w:overflowPunct/>
              <w:topLinePunct w:val="0"/>
              <w:autoSpaceDE w:val="0"/>
              <w:autoSpaceDN w:val="0"/>
              <w:bidi w:val="0"/>
              <w:adjustRightInd/>
              <w:snapToGrid/>
              <w:spacing w:line="240" w:lineRule="atLeast"/>
              <w:textAlignment w:val="auto"/>
              <w:rPr>
                <w:rFonts w:hint="eastAsia" w:ascii="宋体" w:hAnsi="宋体" w:eastAsia="宋体" w:cs="宋体"/>
                <w:sz w:val="21"/>
                <w:szCs w:val="21"/>
              </w:rPr>
            </w:pPr>
            <w:r>
              <w:rPr>
                <w:rFonts w:hint="eastAsia" w:ascii="宋体" w:hAnsi="宋体" w:eastAsia="宋体" w:cs="宋体"/>
                <w:sz w:val="21"/>
                <w:szCs w:val="21"/>
              </w:rPr>
              <w:t>生物活性炭吸附</w:t>
            </w:r>
          </w:p>
        </w:tc>
      </w:tr>
      <w:tr w14:paraId="3E1E5A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0" w:hRule="atLeast"/>
          <w:jc w:val="center"/>
        </w:trPr>
        <w:tc>
          <w:tcPr>
            <w:tcW w:w="2023" w:type="dxa"/>
            <w:tcBorders>
              <w:top w:val="single" w:color="000000" w:sz="4" w:space="0"/>
              <w:bottom w:val="single" w:color="000000" w:sz="4" w:space="0"/>
              <w:right w:val="single" w:color="000000" w:sz="4" w:space="0"/>
            </w:tcBorders>
            <w:noWrap w:val="0"/>
            <w:vAlign w:val="center"/>
          </w:tcPr>
          <w:p w14:paraId="335EA702">
            <w:pPr>
              <w:pStyle w:val="27"/>
              <w:keepNext w:val="0"/>
              <w:keepLines w:val="0"/>
              <w:pageBreakBefore w:val="0"/>
              <w:widowControl w:val="0"/>
              <w:kinsoku/>
              <w:wordWrap/>
              <w:overflowPunct/>
              <w:topLinePunct w:val="0"/>
              <w:autoSpaceDE w:val="0"/>
              <w:autoSpaceDN w:val="0"/>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三氯甲烷和腐殖酸</w:t>
            </w:r>
          </w:p>
        </w:tc>
        <w:tc>
          <w:tcPr>
            <w:tcW w:w="6481" w:type="dxa"/>
            <w:tcBorders>
              <w:top w:val="single" w:color="000000" w:sz="4" w:space="0"/>
              <w:left w:val="single" w:color="000000" w:sz="4" w:space="0"/>
              <w:bottom w:val="single" w:color="000000" w:sz="4" w:space="0"/>
            </w:tcBorders>
            <w:noWrap w:val="0"/>
            <w:vAlign w:val="center"/>
          </w:tcPr>
          <w:p w14:paraId="1A68689E">
            <w:pPr>
              <w:pStyle w:val="27"/>
              <w:keepNext w:val="0"/>
              <w:keepLines w:val="0"/>
              <w:pageBreakBefore w:val="0"/>
              <w:widowControl w:val="0"/>
              <w:kinsoku/>
              <w:wordWrap/>
              <w:overflowPunct/>
              <w:topLinePunct w:val="0"/>
              <w:autoSpaceDE w:val="0"/>
              <w:autoSpaceDN w:val="0"/>
              <w:bidi w:val="0"/>
              <w:adjustRightInd/>
              <w:snapToGrid/>
              <w:spacing w:line="240" w:lineRule="atLeast"/>
              <w:textAlignment w:val="auto"/>
              <w:rPr>
                <w:rFonts w:hint="eastAsia" w:ascii="宋体" w:hAnsi="宋体" w:eastAsia="宋体" w:cs="宋体"/>
                <w:sz w:val="21"/>
                <w:szCs w:val="21"/>
                <w:lang w:eastAsia="zh-CN"/>
              </w:rPr>
            </w:pPr>
            <w:r>
              <w:rPr>
                <w:rFonts w:hint="eastAsia" w:ascii="宋体" w:hAnsi="宋体" w:eastAsia="宋体" w:cs="宋体"/>
                <w:spacing w:val="-22"/>
                <w:sz w:val="21"/>
                <w:szCs w:val="21"/>
                <w:lang w:eastAsia="zh-CN"/>
              </w:rPr>
              <w:t>前驱物的去除：强化混凝、粒状活性炭、生物活性炭；氯化副产物的去除：</w:t>
            </w:r>
            <w:r>
              <w:rPr>
                <w:rFonts w:hint="eastAsia" w:ascii="宋体" w:hAnsi="宋体" w:eastAsia="宋体" w:cs="宋体"/>
                <w:spacing w:val="-5"/>
                <w:sz w:val="21"/>
                <w:szCs w:val="21"/>
                <w:lang w:eastAsia="zh-CN"/>
              </w:rPr>
              <w:t>粒状活性炭</w:t>
            </w:r>
          </w:p>
        </w:tc>
      </w:tr>
      <w:tr w14:paraId="79BE73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0" w:hRule="atLeast"/>
          <w:jc w:val="center"/>
        </w:trPr>
        <w:tc>
          <w:tcPr>
            <w:tcW w:w="2023" w:type="dxa"/>
            <w:tcBorders>
              <w:top w:val="single" w:color="000000" w:sz="4" w:space="0"/>
              <w:bottom w:val="single" w:color="000000" w:sz="4" w:space="0"/>
              <w:right w:val="single" w:color="000000" w:sz="4" w:space="0"/>
            </w:tcBorders>
            <w:noWrap w:val="0"/>
            <w:vAlign w:val="center"/>
          </w:tcPr>
          <w:p w14:paraId="75B69E4C">
            <w:pPr>
              <w:pStyle w:val="27"/>
              <w:keepNext w:val="0"/>
              <w:keepLines w:val="0"/>
              <w:pageBreakBefore w:val="0"/>
              <w:widowControl w:val="0"/>
              <w:kinsoku/>
              <w:wordWrap/>
              <w:overflowPunct/>
              <w:topLinePunct w:val="0"/>
              <w:autoSpaceDE w:val="0"/>
              <w:autoSpaceDN w:val="0"/>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有机化合物</w:t>
            </w:r>
          </w:p>
        </w:tc>
        <w:tc>
          <w:tcPr>
            <w:tcW w:w="6481" w:type="dxa"/>
            <w:tcBorders>
              <w:top w:val="single" w:color="000000" w:sz="4" w:space="0"/>
              <w:left w:val="single" w:color="000000" w:sz="4" w:space="0"/>
              <w:bottom w:val="single" w:color="000000" w:sz="4" w:space="0"/>
            </w:tcBorders>
            <w:noWrap w:val="0"/>
            <w:vAlign w:val="center"/>
          </w:tcPr>
          <w:p w14:paraId="75D7C13A">
            <w:pPr>
              <w:pStyle w:val="27"/>
              <w:keepNext w:val="0"/>
              <w:keepLines w:val="0"/>
              <w:pageBreakBefore w:val="0"/>
              <w:widowControl w:val="0"/>
              <w:kinsoku/>
              <w:wordWrap/>
              <w:overflowPunct/>
              <w:topLinePunct w:val="0"/>
              <w:autoSpaceDE w:val="0"/>
              <w:autoSpaceDN w:val="0"/>
              <w:bidi w:val="0"/>
              <w:adjustRightInd/>
              <w:snapToGrid/>
              <w:spacing w:line="240" w:lineRule="atLeast"/>
              <w:textAlignment w:val="auto"/>
              <w:rPr>
                <w:rFonts w:hint="eastAsia" w:ascii="宋体" w:hAnsi="宋体" w:eastAsia="宋体" w:cs="宋体"/>
                <w:sz w:val="21"/>
                <w:szCs w:val="21"/>
              </w:rPr>
            </w:pPr>
            <w:r>
              <w:rPr>
                <w:rFonts w:hint="eastAsia" w:ascii="宋体" w:hAnsi="宋体" w:eastAsia="宋体" w:cs="宋体"/>
                <w:sz w:val="21"/>
                <w:szCs w:val="21"/>
              </w:rPr>
              <w:t>生物活性炭、膜处理</w:t>
            </w:r>
          </w:p>
        </w:tc>
      </w:tr>
      <w:tr w14:paraId="6545C8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0" w:hRule="atLeast"/>
          <w:jc w:val="center"/>
        </w:trPr>
        <w:tc>
          <w:tcPr>
            <w:tcW w:w="2023" w:type="dxa"/>
            <w:tcBorders>
              <w:top w:val="single" w:color="000000" w:sz="4" w:space="0"/>
              <w:bottom w:val="single" w:color="000000" w:sz="4" w:space="0"/>
              <w:right w:val="single" w:color="000000" w:sz="4" w:space="0"/>
            </w:tcBorders>
            <w:noWrap w:val="0"/>
            <w:vAlign w:val="center"/>
          </w:tcPr>
          <w:p w14:paraId="4329AD27">
            <w:pPr>
              <w:pStyle w:val="27"/>
              <w:keepNext w:val="0"/>
              <w:keepLines w:val="0"/>
              <w:pageBreakBefore w:val="0"/>
              <w:widowControl w:val="0"/>
              <w:kinsoku/>
              <w:wordWrap/>
              <w:overflowPunct/>
              <w:topLinePunct w:val="0"/>
              <w:autoSpaceDE w:val="0"/>
              <w:autoSpaceDN w:val="0"/>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细菌和病毒</w:t>
            </w:r>
          </w:p>
        </w:tc>
        <w:tc>
          <w:tcPr>
            <w:tcW w:w="6481" w:type="dxa"/>
            <w:tcBorders>
              <w:top w:val="single" w:color="000000" w:sz="4" w:space="0"/>
              <w:left w:val="single" w:color="000000" w:sz="4" w:space="0"/>
              <w:bottom w:val="single" w:color="000000" w:sz="4" w:space="0"/>
            </w:tcBorders>
            <w:noWrap w:val="0"/>
            <w:vAlign w:val="center"/>
          </w:tcPr>
          <w:p w14:paraId="31E373FD">
            <w:pPr>
              <w:pStyle w:val="27"/>
              <w:keepNext w:val="0"/>
              <w:keepLines w:val="0"/>
              <w:pageBreakBefore w:val="0"/>
              <w:widowControl w:val="0"/>
              <w:kinsoku/>
              <w:wordWrap/>
              <w:overflowPunct/>
              <w:topLinePunct w:val="0"/>
              <w:autoSpaceDE w:val="0"/>
              <w:autoSpaceDN w:val="0"/>
              <w:bidi w:val="0"/>
              <w:adjustRightInd/>
              <w:snapToGrid/>
              <w:spacing w:line="240" w:lineRule="atLeast"/>
              <w:textAlignment w:val="auto"/>
              <w:rPr>
                <w:rFonts w:hint="eastAsia" w:ascii="宋体" w:hAnsi="宋体" w:eastAsia="宋体" w:cs="宋体"/>
                <w:sz w:val="21"/>
                <w:szCs w:val="21"/>
                <w:lang w:eastAsia="zh-CN"/>
              </w:rPr>
            </w:pPr>
            <w:r>
              <w:rPr>
                <w:rFonts w:hint="eastAsia" w:ascii="宋体" w:hAnsi="宋体" w:eastAsia="宋体" w:cs="宋体"/>
                <w:spacing w:val="-26"/>
                <w:sz w:val="21"/>
                <w:szCs w:val="21"/>
                <w:lang w:eastAsia="zh-CN"/>
              </w:rPr>
              <w:t>过滤</w:t>
            </w:r>
            <w:r>
              <w:rPr>
                <w:rFonts w:hint="eastAsia" w:ascii="宋体" w:hAnsi="宋体" w:eastAsia="宋体" w:cs="宋体"/>
                <w:spacing w:val="-25"/>
                <w:sz w:val="21"/>
                <w:szCs w:val="21"/>
                <w:lang w:eastAsia="zh-CN"/>
              </w:rPr>
              <w:t>（</w:t>
            </w:r>
            <w:r>
              <w:rPr>
                <w:rFonts w:hint="eastAsia" w:ascii="宋体" w:hAnsi="宋体" w:eastAsia="宋体" w:cs="宋体"/>
                <w:spacing w:val="-27"/>
                <w:sz w:val="21"/>
                <w:szCs w:val="21"/>
                <w:lang w:eastAsia="zh-CN"/>
              </w:rPr>
              <w:t>部分去除）；</w:t>
            </w:r>
            <w:r>
              <w:rPr>
                <w:rFonts w:hint="eastAsia" w:ascii="宋体" w:hAnsi="宋体" w:eastAsia="宋体" w:cs="宋体"/>
                <w:spacing w:val="-26"/>
                <w:sz w:val="21"/>
                <w:szCs w:val="21"/>
                <w:lang w:eastAsia="zh-CN"/>
              </w:rPr>
              <w:t>消毒处理：氯、二氧化氯、臭氧、膜处理、紫外消毒</w:t>
            </w:r>
          </w:p>
        </w:tc>
      </w:tr>
      <w:tr w14:paraId="6055C7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40" w:hRule="atLeast"/>
          <w:jc w:val="center"/>
        </w:trPr>
        <w:tc>
          <w:tcPr>
            <w:tcW w:w="2023" w:type="dxa"/>
            <w:tcBorders>
              <w:top w:val="single" w:color="000000" w:sz="4" w:space="0"/>
              <w:bottom w:val="single" w:color="000000" w:sz="4" w:space="0"/>
              <w:right w:val="single" w:color="000000" w:sz="4" w:space="0"/>
            </w:tcBorders>
            <w:noWrap w:val="0"/>
            <w:vAlign w:val="center"/>
          </w:tcPr>
          <w:p w14:paraId="37E064A6">
            <w:pPr>
              <w:pStyle w:val="27"/>
              <w:keepNext w:val="0"/>
              <w:keepLines w:val="0"/>
              <w:pageBreakBefore w:val="0"/>
              <w:widowControl w:val="0"/>
              <w:kinsoku/>
              <w:wordWrap/>
              <w:overflowPunct/>
              <w:topLinePunct w:val="0"/>
              <w:autoSpaceDE w:val="0"/>
              <w:autoSpaceDN w:val="0"/>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汞、铬等部分重金属</w:t>
            </w:r>
          </w:p>
          <w:p w14:paraId="7BEA8D36">
            <w:pPr>
              <w:pStyle w:val="27"/>
              <w:keepNext w:val="0"/>
              <w:keepLines w:val="0"/>
              <w:pageBreakBefore w:val="0"/>
              <w:widowControl w:val="0"/>
              <w:kinsoku/>
              <w:wordWrap/>
              <w:overflowPunct/>
              <w:topLinePunct w:val="0"/>
              <w:autoSpaceDE w:val="0"/>
              <w:autoSpaceDN w:val="0"/>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（应急状态）</w:t>
            </w:r>
          </w:p>
        </w:tc>
        <w:tc>
          <w:tcPr>
            <w:tcW w:w="6481" w:type="dxa"/>
            <w:tcBorders>
              <w:top w:val="single" w:color="000000" w:sz="4" w:space="0"/>
              <w:left w:val="single" w:color="000000" w:sz="4" w:space="0"/>
              <w:bottom w:val="single" w:color="000000" w:sz="4" w:space="0"/>
            </w:tcBorders>
            <w:noWrap w:val="0"/>
            <w:vAlign w:val="center"/>
          </w:tcPr>
          <w:p w14:paraId="7296D43B">
            <w:pPr>
              <w:pStyle w:val="27"/>
              <w:keepNext w:val="0"/>
              <w:keepLines w:val="0"/>
              <w:pageBreakBefore w:val="0"/>
              <w:widowControl w:val="0"/>
              <w:kinsoku/>
              <w:wordWrap/>
              <w:overflowPunct/>
              <w:topLinePunct w:val="0"/>
              <w:autoSpaceDE w:val="0"/>
              <w:autoSpaceDN w:val="0"/>
              <w:bidi w:val="0"/>
              <w:adjustRightInd/>
              <w:snapToGrid/>
              <w:spacing w:line="24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氧化法：高锰酸钾；生物活性炭吸附（部分去除）</w:t>
            </w:r>
          </w:p>
        </w:tc>
      </w:tr>
      <w:tr w14:paraId="0C2EE4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60" w:hRule="atLeast"/>
          <w:jc w:val="center"/>
        </w:trPr>
        <w:tc>
          <w:tcPr>
            <w:tcW w:w="2023" w:type="dxa"/>
            <w:tcBorders>
              <w:top w:val="single" w:color="000000" w:sz="4" w:space="0"/>
              <w:right w:val="single" w:color="000000" w:sz="4" w:space="0"/>
            </w:tcBorders>
            <w:noWrap w:val="0"/>
            <w:vAlign w:val="center"/>
          </w:tcPr>
          <w:p w14:paraId="292E7AD7">
            <w:pPr>
              <w:pStyle w:val="27"/>
              <w:keepNext w:val="0"/>
              <w:keepLines w:val="0"/>
              <w:pageBreakBefore w:val="0"/>
              <w:widowControl w:val="0"/>
              <w:kinsoku/>
              <w:wordWrap/>
              <w:overflowPunct/>
              <w:topLinePunct w:val="0"/>
              <w:autoSpaceDE w:val="0"/>
              <w:autoSpaceDN w:val="0"/>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藻类及藻毒素</w:t>
            </w:r>
          </w:p>
        </w:tc>
        <w:tc>
          <w:tcPr>
            <w:tcW w:w="6481" w:type="dxa"/>
            <w:tcBorders>
              <w:top w:val="single" w:color="000000" w:sz="4" w:space="0"/>
              <w:left w:val="single" w:color="000000" w:sz="4" w:space="0"/>
            </w:tcBorders>
            <w:noWrap w:val="0"/>
            <w:vAlign w:val="center"/>
          </w:tcPr>
          <w:p w14:paraId="28F1B5FE">
            <w:pPr>
              <w:pStyle w:val="27"/>
              <w:keepNext w:val="0"/>
              <w:keepLines w:val="0"/>
              <w:pageBreakBefore w:val="0"/>
              <w:widowControl w:val="0"/>
              <w:kinsoku/>
              <w:wordWrap/>
              <w:overflowPunct/>
              <w:topLinePunct w:val="0"/>
              <w:autoSpaceDE w:val="0"/>
              <w:autoSpaceDN w:val="0"/>
              <w:bidi w:val="0"/>
              <w:adjustRightInd/>
              <w:snapToGrid/>
              <w:spacing w:line="240" w:lineRule="atLeast"/>
              <w:textAlignment w:val="auto"/>
              <w:rPr>
                <w:rFonts w:hint="eastAsia" w:ascii="宋体" w:hAnsi="宋体" w:eastAsia="宋体" w:cs="宋体"/>
                <w:sz w:val="21"/>
                <w:szCs w:val="21"/>
                <w:lang w:eastAsia="zh-CN"/>
              </w:rPr>
            </w:pPr>
            <w:r>
              <w:rPr>
                <w:rFonts w:hint="eastAsia" w:ascii="宋体" w:hAnsi="宋体" w:eastAsia="宋体" w:cs="宋体"/>
                <w:spacing w:val="-14"/>
                <w:sz w:val="21"/>
                <w:szCs w:val="21"/>
                <w:lang w:eastAsia="zh-CN"/>
              </w:rPr>
              <w:t>化学氧化预处理：除藻剂法、高锰酸钾、氯；微滤法；气浮法；臭氧氧化法</w:t>
            </w:r>
          </w:p>
        </w:tc>
      </w:tr>
    </w:tbl>
    <w:p w14:paraId="03413014">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4.7.2 供水安全保障</w:t>
      </w:r>
      <w:bookmarkStart w:id="92" w:name="_Toc4905"/>
    </w:p>
    <w:p w14:paraId="72515D77">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当出现水源地突发环境事件，应急供水保障组应根据污染物的种类、浓度、可能影响取水口的时间等，及时采取深度处理、低压供水或启动备用水源等应急措施，并加强污染物监测，待水质满足取水要求时恢复取水和供水。无备用水源的，应使用应急供水车等设施保障居民用水。</w:t>
      </w:r>
    </w:p>
    <w:p w14:paraId="2E65E354">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93" w:name="_Toc16092"/>
      <w:bookmarkStart w:id="94" w:name="_Toc21287"/>
      <w:bookmarkStart w:id="95" w:name="_Toc186123045"/>
      <w:bookmarkStart w:id="96" w:name="_Toc186124198"/>
      <w:bookmarkStart w:id="97" w:name="_Toc186122740"/>
      <w:bookmarkStart w:id="98" w:name="_Toc186125033"/>
      <w:r>
        <w:rPr>
          <w:rFonts w:hint="eastAsia" w:ascii="宋体" w:hAnsi="宋体" w:eastAsia="宋体" w:cs="宋体"/>
          <w:b/>
          <w:bCs/>
          <w:color w:val="000000"/>
          <w:sz w:val="28"/>
          <w:szCs w:val="28"/>
          <w:lang w:val="en-US" w:eastAsia="zh-CN"/>
        </w:rPr>
        <w:t>4.8 物资调集及应急设施启用</w:t>
      </w:r>
      <w:bookmarkEnd w:id="92"/>
      <w:bookmarkEnd w:id="93"/>
      <w:bookmarkEnd w:id="94"/>
      <w:bookmarkEnd w:id="95"/>
      <w:bookmarkEnd w:id="96"/>
      <w:bookmarkEnd w:id="97"/>
      <w:bookmarkEnd w:id="98"/>
    </w:p>
    <w:p w14:paraId="2A2A0E81">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应急物资、装备由综合协调组进行统一协调调配。</w:t>
      </w:r>
    </w:p>
    <w:p w14:paraId="2D42DE75">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99" w:name="_Toc186124199"/>
      <w:bookmarkStart w:id="100" w:name="_Toc25581"/>
      <w:bookmarkStart w:id="101" w:name="_Toc25284"/>
      <w:bookmarkStart w:id="102" w:name="_Toc186122741"/>
      <w:bookmarkStart w:id="103" w:name="_Toc186125034"/>
      <w:bookmarkStart w:id="104" w:name="_Toc31212"/>
      <w:bookmarkStart w:id="105" w:name="_Toc186123046"/>
      <w:r>
        <w:rPr>
          <w:rFonts w:hint="eastAsia" w:ascii="宋体" w:hAnsi="宋体" w:eastAsia="宋体" w:cs="宋体"/>
          <w:b/>
          <w:bCs/>
          <w:color w:val="000000"/>
          <w:sz w:val="28"/>
          <w:szCs w:val="28"/>
          <w:lang w:val="en-US" w:eastAsia="zh-CN"/>
        </w:rPr>
        <w:t>4.9 舆情监测与信息发布</w:t>
      </w:r>
      <w:bookmarkEnd w:id="99"/>
      <w:bookmarkEnd w:id="100"/>
      <w:bookmarkEnd w:id="101"/>
      <w:bookmarkEnd w:id="102"/>
      <w:bookmarkEnd w:id="103"/>
      <w:bookmarkEnd w:id="104"/>
      <w:bookmarkEnd w:id="105"/>
    </w:p>
    <w:p w14:paraId="2F6B5EC5">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综合协调组负责及时按规定通过新闻媒体发布饮用水水源地突发污染事件处置的相关信息，监控、引导社会舆情。现场应急指挥部在突发环境事件发生后，应第一时间通过政府发布新闻通稿、举行新闻发布会等多种形式，借助电视、广播、报纸、网络等多种途径，运用微博、微信、移动客户端等新媒体平台，主动、及时、准确、客观地向社会发布突发环境事件有关信息，回应社会关切，澄清不实信息，正确引导社会舆论。发布内容包括事件原因、影响区域、已采取的措施及成效、公众应注意的防范措施、热线电话等。</w:t>
      </w:r>
    </w:p>
    <w:p w14:paraId="24DA5B98">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106" w:name="_Toc1903"/>
      <w:bookmarkStart w:id="107" w:name="_Toc186125035"/>
      <w:bookmarkStart w:id="108" w:name="_Toc29263"/>
      <w:bookmarkStart w:id="109" w:name="_Toc186122742"/>
      <w:bookmarkStart w:id="110" w:name="_Toc186124200"/>
      <w:bookmarkStart w:id="111" w:name="_Toc19502"/>
      <w:bookmarkStart w:id="112" w:name="_Toc186123047"/>
      <w:r>
        <w:rPr>
          <w:rFonts w:hint="eastAsia" w:ascii="宋体" w:hAnsi="宋体" w:eastAsia="宋体" w:cs="宋体"/>
          <w:b/>
          <w:bCs/>
          <w:color w:val="000000"/>
          <w:sz w:val="28"/>
          <w:szCs w:val="28"/>
          <w:lang w:val="en-US" w:eastAsia="zh-CN"/>
        </w:rPr>
        <w:t>4.10 响应终止</w:t>
      </w:r>
      <w:bookmarkEnd w:id="106"/>
      <w:bookmarkEnd w:id="107"/>
      <w:bookmarkEnd w:id="108"/>
      <w:bookmarkEnd w:id="109"/>
      <w:bookmarkEnd w:id="110"/>
      <w:bookmarkEnd w:id="111"/>
      <w:bookmarkEnd w:id="112"/>
    </w:p>
    <w:p w14:paraId="390385E8">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符合下列情形之一的，可终止应急响应。</w:t>
      </w:r>
    </w:p>
    <w:p w14:paraId="76DCDB4B">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（1）进入水源保护区陆域范围的污染物已成功围堵，且清运至水源保护区外，未向水域扩散时；</w:t>
      </w:r>
    </w:p>
    <w:p w14:paraId="2A5F503C">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（2）进入水源保护区水域范围的污染团已成功拦截或导流至水源保护区外，没有向取水口扩散的风险，且水质监测结果稳定达标；</w:t>
      </w:r>
    </w:p>
    <w:p w14:paraId="0F32D40E">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（3）水质监测结果尚未稳定达标，但根据应急专家组建议可以恢复正常取水时。</w:t>
      </w:r>
    </w:p>
    <w:p w14:paraId="0BA3B44C">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由专家组进行综合评估，在符合解除应急响应的条件后，提出响应终止的建议，由区指挥部批准同意响应终止。</w:t>
      </w:r>
    </w:p>
    <w:p w14:paraId="41FE0654">
      <w:pPr>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br w:type="page"/>
      </w:r>
    </w:p>
    <w:p w14:paraId="0D50696E">
      <w:pPr>
        <w:pStyle w:val="15"/>
        <w:keepNext w:val="0"/>
        <w:keepLines w:val="0"/>
        <w:pageBreakBefore w:val="0"/>
        <w:widowControl/>
        <w:kinsoku/>
        <w:wordWrap/>
        <w:overflowPunct/>
        <w:topLinePunct w:val="0"/>
        <w:autoSpaceDE/>
        <w:autoSpaceDN/>
        <w:bidi w:val="0"/>
        <w:adjustRightInd w:val="0"/>
        <w:snapToGrid/>
        <w:spacing w:beforeAutospacing="0" w:line="360" w:lineRule="auto"/>
        <w:ind w:firstLine="0" w:firstLineChars="0"/>
        <w:jc w:val="center"/>
        <w:textAlignment w:val="auto"/>
        <w:outlineLvl w:val="0"/>
        <w:rPr>
          <w:rStyle w:val="19"/>
          <w:rFonts w:hint="default" w:ascii="宋体" w:hAnsi="宋体" w:eastAsia="宋体" w:cs="宋体"/>
          <w:b/>
          <w:bCs/>
          <w:color w:val="000000"/>
          <w:sz w:val="32"/>
          <w:szCs w:val="32"/>
          <w:lang w:val="en-US" w:eastAsia="zh-CN"/>
        </w:rPr>
      </w:pPr>
      <w:bookmarkStart w:id="113" w:name="_Toc186124984"/>
      <w:bookmarkStart w:id="114" w:name="_Toc186124159"/>
      <w:bookmarkStart w:id="115" w:name="_Toc21114"/>
      <w:bookmarkStart w:id="116" w:name="_Toc31622"/>
      <w:r>
        <w:rPr>
          <w:rStyle w:val="19"/>
          <w:rFonts w:hint="eastAsia" w:cs="宋体"/>
          <w:b/>
          <w:bCs/>
          <w:color w:val="000000"/>
          <w:sz w:val="32"/>
          <w:szCs w:val="32"/>
          <w:lang w:val="en-US" w:eastAsia="zh-CN"/>
        </w:rPr>
        <w:t>5</w:t>
      </w:r>
      <w:r>
        <w:rPr>
          <w:rStyle w:val="19"/>
          <w:rFonts w:hint="eastAsia" w:ascii="宋体" w:hAnsi="宋体" w:eastAsia="宋体" w:cs="宋体"/>
          <w:b/>
          <w:bCs/>
          <w:color w:val="000000"/>
          <w:sz w:val="32"/>
          <w:szCs w:val="32"/>
          <w:lang w:val="en-US" w:eastAsia="zh-CN"/>
        </w:rPr>
        <w:t xml:space="preserve"> </w:t>
      </w:r>
      <w:bookmarkEnd w:id="113"/>
      <w:bookmarkEnd w:id="114"/>
      <w:r>
        <w:rPr>
          <w:rStyle w:val="19"/>
          <w:rFonts w:hint="eastAsia" w:cs="宋体"/>
          <w:b/>
          <w:bCs/>
          <w:color w:val="000000"/>
          <w:sz w:val="32"/>
          <w:szCs w:val="32"/>
          <w:lang w:val="en-US" w:eastAsia="zh-CN"/>
        </w:rPr>
        <w:t>后期工作</w:t>
      </w:r>
      <w:bookmarkEnd w:id="115"/>
      <w:bookmarkEnd w:id="116"/>
    </w:p>
    <w:p w14:paraId="5D44D45A">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117" w:name="_Toc10713"/>
      <w:bookmarkStart w:id="118" w:name="_Toc26547"/>
      <w:r>
        <w:rPr>
          <w:rFonts w:hint="eastAsia" w:ascii="宋体" w:hAnsi="宋体" w:cs="宋体"/>
          <w:b/>
          <w:bCs/>
          <w:color w:val="000000"/>
          <w:sz w:val="28"/>
          <w:szCs w:val="28"/>
          <w:lang w:val="en-US" w:eastAsia="zh-CN"/>
        </w:rPr>
        <w:t>5</w:t>
      </w:r>
      <w:r>
        <w:rPr>
          <w:rFonts w:hint="eastAsia" w:ascii="宋体" w:hAnsi="宋体" w:eastAsia="宋体" w:cs="宋体"/>
          <w:b/>
          <w:bCs/>
          <w:color w:val="000000"/>
          <w:sz w:val="28"/>
          <w:szCs w:val="28"/>
          <w:lang w:val="en-US" w:eastAsia="zh-CN"/>
        </w:rPr>
        <w:t>.1 后期防控</w:t>
      </w:r>
      <w:bookmarkEnd w:id="117"/>
      <w:bookmarkEnd w:id="118"/>
      <w:bookmarkStart w:id="119" w:name="_Toc27647"/>
    </w:p>
    <w:p w14:paraId="067C7A6E">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后期防控主要包括：</w:t>
      </w:r>
    </w:p>
    <w:p w14:paraId="013EA244">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（1）油品、化学品污染环境净化和消洗</w:t>
      </w:r>
    </w:p>
    <w:p w14:paraId="722EFF1F">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油品、化学品能重新利用的则应回收再利用；不能重新利用的，可交有资质的单位处置；农药等毒性物质尽可能交与有资质的危险废物处理的单位净化处置。把消防毒剂水溶液装于消防车水罐，经消防泵加压后，通过水带、水枪以开花或喷雾水流喷洒。用吸附垫、活性炭等具有吸附能力的物质，吸附回收后转移委托有资质的单位处置，也可用喷射雾状水进行稀释降毒。受污染水体抽吸进入活性炭设施，净化处理达标后排入污水处理站，废弃活性炭委托有资质的单位处置。</w:t>
      </w:r>
    </w:p>
    <w:p w14:paraId="11B28705">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（2）被油品、化学品污染的河道或水库岸线</w:t>
      </w:r>
    </w:p>
    <w:p w14:paraId="52E8A989">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对污染产生的死鱼、动物等进行打捞收集，并依法依规消毒填埋处理；使用洒消油剂或吸附剂进行消除；使用刷子或吸尘器除去颗粒性污染物，或使用简单工具收集被污染沙石至容器内，按危险固废处置。</w:t>
      </w:r>
    </w:p>
    <w:p w14:paraId="0ED746FB">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（3）被污染的土壤</w:t>
      </w:r>
    </w:p>
    <w:p w14:paraId="2B518283">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使用简单工具将表层剥离装入容器，并委托具备处理资质的单位净化处置；若环境不允许挖掘或清除大量土壤时，可使用物理、化学或生物方法消除。</w:t>
      </w:r>
    </w:p>
    <w:p w14:paraId="4784C2C7">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（4）清理的藻类</w:t>
      </w:r>
    </w:p>
    <w:p w14:paraId="50F63AA6">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藻类捕捞后运送到保护区外指定场所堆放，并采用沼气发生池、搅拌发酵、除臭分解等无害化处理手段，使之成为可利用的能源或有机肥料。</w:t>
      </w:r>
    </w:p>
    <w:p w14:paraId="0D56C8F3">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120" w:name="_Toc16331"/>
      <w:bookmarkStart w:id="121" w:name="_Toc7612"/>
      <w:r>
        <w:rPr>
          <w:rFonts w:hint="eastAsia" w:ascii="宋体" w:hAnsi="宋体" w:cs="宋体"/>
          <w:b/>
          <w:bCs/>
          <w:color w:val="000000"/>
          <w:sz w:val="28"/>
          <w:szCs w:val="28"/>
          <w:lang w:val="en-US" w:eastAsia="zh-CN"/>
        </w:rPr>
        <w:t>5</w:t>
      </w:r>
      <w:r>
        <w:rPr>
          <w:rFonts w:hint="eastAsia" w:ascii="宋体" w:hAnsi="宋体" w:eastAsia="宋体" w:cs="宋体"/>
          <w:b/>
          <w:bCs/>
          <w:color w:val="000000"/>
          <w:sz w:val="28"/>
          <w:szCs w:val="28"/>
          <w:lang w:val="en-US" w:eastAsia="zh-CN"/>
        </w:rPr>
        <w:t>.2 事件调查</w:t>
      </w:r>
      <w:bookmarkEnd w:id="119"/>
      <w:bookmarkEnd w:id="120"/>
      <w:bookmarkEnd w:id="121"/>
      <w:bookmarkStart w:id="122" w:name="_Toc7881"/>
    </w:p>
    <w:p w14:paraId="2E72AB00">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根据事件调查的有关规定</w:t>
      </w:r>
      <w:r>
        <w:rPr>
          <w:rFonts w:hint="eastAsia" w:cs="宋体"/>
          <w:color w:val="auto"/>
          <w:sz w:val="28"/>
          <w:szCs w:val="28"/>
          <w:lang w:val="en-US" w:eastAsia="zh-CN"/>
        </w:rPr>
        <w:t>五通乡应协助开展事件调查</w:t>
      </w:r>
      <w:r>
        <w:rPr>
          <w:rFonts w:hint="eastAsia" w:ascii="宋体" w:hAnsi="宋体" w:eastAsia="宋体" w:cs="宋体"/>
          <w:color w:val="auto"/>
          <w:sz w:val="28"/>
          <w:szCs w:val="28"/>
          <w:lang w:val="en-US" w:eastAsia="zh-CN"/>
        </w:rPr>
        <w:t>，一般或较大环境事件应由区生态环境局牵头，有关部门配合，组织开展事件调查，查明事件原因和性质，提出整改防范措施和处理建议。相关单位或企业应积极整改，并形成整改反馈报告。重大或特别重大事件由市政府或市政府指定部门组织调查。</w:t>
      </w:r>
    </w:p>
    <w:p w14:paraId="3A866242">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123" w:name="_Toc27055"/>
      <w:bookmarkStart w:id="124" w:name="_Toc1384"/>
      <w:r>
        <w:rPr>
          <w:rFonts w:hint="eastAsia" w:ascii="宋体" w:hAnsi="宋体" w:cs="宋体"/>
          <w:b/>
          <w:bCs/>
          <w:color w:val="000000"/>
          <w:sz w:val="28"/>
          <w:szCs w:val="28"/>
          <w:lang w:val="en-US" w:eastAsia="zh-CN"/>
        </w:rPr>
        <w:t>5</w:t>
      </w:r>
      <w:r>
        <w:rPr>
          <w:rFonts w:hint="eastAsia" w:ascii="宋体" w:hAnsi="宋体" w:eastAsia="宋体" w:cs="宋体"/>
          <w:b/>
          <w:bCs/>
          <w:color w:val="000000"/>
          <w:sz w:val="28"/>
          <w:szCs w:val="28"/>
          <w:lang w:val="en-US" w:eastAsia="zh-CN"/>
        </w:rPr>
        <w:t>.3 损害评估</w:t>
      </w:r>
      <w:bookmarkEnd w:id="122"/>
      <w:bookmarkEnd w:id="123"/>
      <w:bookmarkEnd w:id="124"/>
      <w:bookmarkStart w:id="125" w:name="_Toc24184"/>
    </w:p>
    <w:p w14:paraId="65979E50">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根据有关规定，</w:t>
      </w:r>
      <w:r>
        <w:rPr>
          <w:rFonts w:hint="eastAsia" w:cs="宋体"/>
          <w:color w:val="auto"/>
          <w:sz w:val="28"/>
          <w:szCs w:val="28"/>
          <w:lang w:val="en-US" w:eastAsia="zh-CN"/>
        </w:rPr>
        <w:t>五通乡</w:t>
      </w:r>
      <w:r>
        <w:rPr>
          <w:rFonts w:hint="eastAsia" w:ascii="宋体" w:hAnsi="宋体" w:eastAsia="宋体" w:cs="宋体"/>
          <w:color w:val="auto"/>
          <w:sz w:val="28"/>
          <w:szCs w:val="28"/>
          <w:lang w:val="en-US" w:eastAsia="zh-CN"/>
        </w:rPr>
        <w:t>督促造成水源地突发环境事件及污染的个人或单位及时组织开展污染损害评估，并将经评审后的评估结果向社会公布。若造成水源地突发环境事件及污染的个人或单位不明确，应由</w:t>
      </w:r>
      <w:r>
        <w:rPr>
          <w:rFonts w:hint="eastAsia" w:cs="宋体"/>
          <w:color w:val="auto"/>
          <w:sz w:val="28"/>
          <w:szCs w:val="28"/>
          <w:lang w:val="en-US" w:eastAsia="zh-CN"/>
        </w:rPr>
        <w:t>五通乡</w:t>
      </w:r>
      <w:r>
        <w:rPr>
          <w:rFonts w:hint="eastAsia" w:ascii="宋体" w:hAnsi="宋体" w:eastAsia="宋体" w:cs="宋体"/>
          <w:color w:val="auto"/>
          <w:sz w:val="28"/>
          <w:szCs w:val="28"/>
          <w:lang w:val="en-US" w:eastAsia="zh-CN"/>
        </w:rPr>
        <w:t>组织开展污染损害评估，并将经评审后的评估结果向社会公布。</w:t>
      </w:r>
    </w:p>
    <w:p w14:paraId="5F202DD6">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126" w:name="_Toc19281"/>
      <w:bookmarkStart w:id="127" w:name="_Toc25196"/>
      <w:r>
        <w:rPr>
          <w:rFonts w:hint="eastAsia" w:ascii="宋体" w:hAnsi="宋体" w:cs="宋体"/>
          <w:b/>
          <w:bCs/>
          <w:color w:val="000000"/>
          <w:sz w:val="28"/>
          <w:szCs w:val="28"/>
          <w:lang w:val="en-US" w:eastAsia="zh-CN"/>
        </w:rPr>
        <w:t>5</w:t>
      </w:r>
      <w:r>
        <w:rPr>
          <w:rFonts w:hint="eastAsia" w:ascii="宋体" w:hAnsi="宋体" w:eastAsia="宋体" w:cs="宋体"/>
          <w:b/>
          <w:bCs/>
          <w:color w:val="000000"/>
          <w:sz w:val="28"/>
          <w:szCs w:val="28"/>
          <w:lang w:val="en-US" w:eastAsia="zh-CN"/>
        </w:rPr>
        <w:t>.4 善后处置</w:t>
      </w:r>
      <w:bookmarkEnd w:id="125"/>
      <w:bookmarkEnd w:id="126"/>
      <w:bookmarkEnd w:id="127"/>
    </w:p>
    <w:p w14:paraId="693908AD">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由</w:t>
      </w:r>
      <w:r>
        <w:rPr>
          <w:rFonts w:hint="eastAsia" w:cs="宋体"/>
          <w:color w:val="auto"/>
          <w:sz w:val="28"/>
          <w:szCs w:val="28"/>
          <w:lang w:val="en-US" w:eastAsia="zh-CN"/>
        </w:rPr>
        <w:t>五通乡</w:t>
      </w:r>
      <w:r>
        <w:rPr>
          <w:rFonts w:hint="eastAsia" w:ascii="宋体" w:hAnsi="宋体" w:eastAsia="宋体" w:cs="宋体"/>
          <w:color w:val="auto"/>
          <w:sz w:val="28"/>
          <w:szCs w:val="28"/>
          <w:lang w:val="en-US" w:eastAsia="zh-CN"/>
        </w:rPr>
        <w:t>督促肇事单位按照政策规定，对事故伤亡人员给予赔付救治，对伤者及伤亡人员家属进行精神安抚；相关部门按照各自职责进行指导。按照国家规定组织制定补助、补偿、抚慰、抚恤、安置和环境恢复等善后工作方案，并按照法定程序实施。对紧急征用的物资和调集的社会力量按照有关规定予以结算和补偿。保险机构及时开展相关理赔工作。肇事单位必须对风险隐患进行整改，防止风险源再次引发水污染事件，对涉及的污染场地进行修复，满足相关要求，并对造成社会损害的进行依法赔偿。</w:t>
      </w:r>
      <w:r>
        <w:rPr>
          <w:rFonts w:hint="eastAsia" w:ascii="宋体" w:hAnsi="宋体" w:eastAsia="宋体" w:cs="宋体"/>
          <w:color w:val="auto"/>
          <w:sz w:val="28"/>
          <w:szCs w:val="28"/>
          <w:lang w:val="en-US" w:eastAsia="zh-CN"/>
        </w:rPr>
        <w:br w:type="page"/>
      </w:r>
    </w:p>
    <w:p w14:paraId="52B46A7B">
      <w:pPr>
        <w:pStyle w:val="15"/>
        <w:keepNext w:val="0"/>
        <w:keepLines w:val="0"/>
        <w:pageBreakBefore w:val="0"/>
        <w:widowControl/>
        <w:kinsoku/>
        <w:wordWrap/>
        <w:overflowPunct/>
        <w:topLinePunct w:val="0"/>
        <w:autoSpaceDE/>
        <w:autoSpaceDN/>
        <w:bidi w:val="0"/>
        <w:adjustRightInd w:val="0"/>
        <w:snapToGrid/>
        <w:spacing w:beforeAutospacing="0" w:line="360" w:lineRule="auto"/>
        <w:ind w:firstLine="0" w:firstLineChars="0"/>
        <w:jc w:val="center"/>
        <w:textAlignment w:val="auto"/>
        <w:outlineLvl w:val="0"/>
        <w:rPr>
          <w:rStyle w:val="19"/>
          <w:rFonts w:hint="eastAsia" w:ascii="宋体" w:hAnsi="宋体" w:eastAsia="宋体" w:cs="宋体"/>
          <w:b/>
          <w:bCs/>
          <w:color w:val="000000"/>
          <w:sz w:val="32"/>
          <w:szCs w:val="32"/>
          <w:lang w:val="en-US" w:eastAsia="zh-CN"/>
        </w:rPr>
      </w:pPr>
      <w:bookmarkStart w:id="128" w:name="_Toc10277"/>
      <w:bookmarkStart w:id="129" w:name="_Toc29702"/>
      <w:bookmarkStart w:id="130" w:name="_Toc186124165"/>
      <w:bookmarkStart w:id="131" w:name="_Toc186124990"/>
      <w:r>
        <w:rPr>
          <w:rStyle w:val="19"/>
          <w:rFonts w:hint="eastAsia" w:cs="宋体"/>
          <w:b/>
          <w:bCs/>
          <w:color w:val="000000"/>
          <w:sz w:val="32"/>
          <w:szCs w:val="32"/>
          <w:lang w:val="en-US" w:eastAsia="zh-CN"/>
        </w:rPr>
        <w:t>6</w:t>
      </w:r>
      <w:r>
        <w:rPr>
          <w:rStyle w:val="19"/>
          <w:rFonts w:hint="eastAsia" w:ascii="宋体" w:hAnsi="宋体" w:eastAsia="宋体" w:cs="宋体"/>
          <w:b/>
          <w:bCs/>
          <w:color w:val="000000"/>
          <w:sz w:val="32"/>
          <w:szCs w:val="32"/>
          <w:lang w:val="en-US" w:eastAsia="zh-CN"/>
        </w:rPr>
        <w:t xml:space="preserve"> 应急保障</w:t>
      </w:r>
      <w:bookmarkEnd w:id="128"/>
      <w:bookmarkEnd w:id="129"/>
      <w:bookmarkEnd w:id="130"/>
      <w:bookmarkEnd w:id="131"/>
    </w:p>
    <w:p w14:paraId="0E52D8F1">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132" w:name="_Toc186124166"/>
      <w:bookmarkStart w:id="133" w:name="_Toc3718"/>
      <w:bookmarkStart w:id="134" w:name="_Toc13854"/>
      <w:bookmarkStart w:id="135" w:name="_Toc186123003"/>
      <w:bookmarkStart w:id="136" w:name="_Toc186124991"/>
      <w:r>
        <w:rPr>
          <w:rFonts w:hint="eastAsia" w:ascii="宋体" w:hAnsi="宋体" w:cs="宋体"/>
          <w:b/>
          <w:bCs/>
          <w:color w:val="000000"/>
          <w:sz w:val="28"/>
          <w:szCs w:val="28"/>
          <w:lang w:val="en-US" w:eastAsia="zh-CN"/>
        </w:rPr>
        <w:t>6</w:t>
      </w:r>
      <w:r>
        <w:rPr>
          <w:rFonts w:hint="eastAsia" w:ascii="宋体" w:hAnsi="宋体" w:eastAsia="宋体" w:cs="宋体"/>
          <w:b/>
          <w:bCs/>
          <w:color w:val="000000"/>
          <w:sz w:val="28"/>
          <w:szCs w:val="28"/>
          <w:lang w:val="en-US" w:eastAsia="zh-CN"/>
        </w:rPr>
        <w:t>.1 队伍保障</w:t>
      </w:r>
      <w:bookmarkEnd w:id="132"/>
      <w:bookmarkEnd w:id="133"/>
      <w:bookmarkEnd w:id="134"/>
      <w:bookmarkEnd w:id="135"/>
      <w:bookmarkEnd w:id="136"/>
    </w:p>
    <w:p w14:paraId="09F2925F">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cs="宋体"/>
          <w:color w:val="auto"/>
          <w:sz w:val="28"/>
          <w:szCs w:val="28"/>
          <w:lang w:val="en-US" w:eastAsia="zh-CN"/>
        </w:rPr>
        <w:t>五通乡人民政府</w:t>
      </w:r>
      <w:r>
        <w:rPr>
          <w:rFonts w:hint="eastAsia" w:ascii="宋体" w:hAnsi="宋体" w:eastAsia="宋体" w:cs="宋体"/>
          <w:color w:val="auto"/>
          <w:sz w:val="28"/>
          <w:szCs w:val="28"/>
          <w:lang w:val="en-US" w:eastAsia="zh-CN"/>
        </w:rPr>
        <w:t>有关部门和单位要加强环境应急救援队伍能力建设。环境监测队伍、消防救援队伍、大型国有骨干企业应急救援队伍及其他相关方面应急救援队伍，要积极参加突发环境事件的应急监测、应急处置、调查处理等工作，提高响应能力和应对能力。要加强环境应急专家队伍管理，为制定突发环境事件应急处置方案、评估污染损害、开展调查处理等工作提供决策建议。</w:t>
      </w:r>
    </w:p>
    <w:p w14:paraId="669A0B6D">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137" w:name="_Toc186124167"/>
      <w:bookmarkStart w:id="138" w:name="_Toc13657"/>
      <w:bookmarkStart w:id="139" w:name="_Toc186123004"/>
      <w:bookmarkStart w:id="140" w:name="_Toc186124992"/>
      <w:bookmarkStart w:id="141" w:name="_Toc25080"/>
      <w:r>
        <w:rPr>
          <w:rFonts w:hint="eastAsia" w:ascii="宋体" w:hAnsi="宋体" w:cs="宋体"/>
          <w:b/>
          <w:bCs/>
          <w:color w:val="000000"/>
          <w:sz w:val="28"/>
          <w:szCs w:val="28"/>
          <w:lang w:val="en-US" w:eastAsia="zh-CN"/>
        </w:rPr>
        <w:t>6</w:t>
      </w:r>
      <w:r>
        <w:rPr>
          <w:rFonts w:hint="eastAsia" w:ascii="宋体" w:hAnsi="宋体" w:eastAsia="宋体" w:cs="宋体"/>
          <w:b/>
          <w:bCs/>
          <w:color w:val="000000"/>
          <w:sz w:val="28"/>
          <w:szCs w:val="28"/>
          <w:lang w:val="en-US" w:eastAsia="zh-CN"/>
        </w:rPr>
        <w:t>.2 物资、装备与资金保障</w:t>
      </w:r>
      <w:bookmarkEnd w:id="137"/>
      <w:bookmarkEnd w:id="138"/>
      <w:bookmarkEnd w:id="139"/>
      <w:bookmarkEnd w:id="140"/>
      <w:bookmarkEnd w:id="141"/>
    </w:p>
    <w:p w14:paraId="3E8014B9">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cs="宋体"/>
          <w:color w:val="auto"/>
          <w:sz w:val="28"/>
          <w:szCs w:val="28"/>
          <w:lang w:val="en-US" w:eastAsia="zh-CN"/>
        </w:rPr>
        <w:t>五通乡人民政府</w:t>
      </w:r>
      <w:r>
        <w:rPr>
          <w:rFonts w:hint="eastAsia" w:ascii="宋体" w:hAnsi="宋体" w:eastAsia="宋体" w:cs="宋体"/>
          <w:color w:val="auto"/>
          <w:sz w:val="28"/>
          <w:szCs w:val="28"/>
          <w:lang w:val="en-US" w:eastAsia="zh-CN"/>
        </w:rPr>
        <w:t>有关部门和有关单位要结合辖区内环境风险特征，分级、分类储备污染源切断、污染物控制、污染物收集、污染物降解、安全防护、应急通信和指挥以及应急监测等物资装备，鼓励支持社会化应急储备，保障应急装备、应急物资、生活必需品的生产、存储、调拨、供给。要加强对环境应急装备和物资储备的动态管理，将环境应急物资储备统筹纳入应急物资库建设。区财政局要保障突发环境事件应对工作所需必要经费。</w:t>
      </w:r>
    </w:p>
    <w:p w14:paraId="7BF28199">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142" w:name="_Toc17286"/>
      <w:bookmarkStart w:id="143" w:name="_Toc186124168"/>
      <w:bookmarkStart w:id="144" w:name="_Toc186123005"/>
      <w:bookmarkStart w:id="145" w:name="_Toc347"/>
      <w:bookmarkStart w:id="146" w:name="_Toc186124993"/>
      <w:r>
        <w:rPr>
          <w:rFonts w:hint="eastAsia" w:ascii="宋体" w:hAnsi="宋体" w:cs="宋体"/>
          <w:b/>
          <w:bCs/>
          <w:color w:val="000000"/>
          <w:sz w:val="28"/>
          <w:szCs w:val="28"/>
          <w:lang w:val="en-US" w:eastAsia="zh-CN"/>
        </w:rPr>
        <w:t>6</w:t>
      </w:r>
      <w:r>
        <w:rPr>
          <w:rFonts w:hint="eastAsia" w:ascii="宋体" w:hAnsi="宋体" w:eastAsia="宋体" w:cs="宋体"/>
          <w:b/>
          <w:bCs/>
          <w:color w:val="000000"/>
          <w:sz w:val="28"/>
          <w:szCs w:val="28"/>
          <w:lang w:val="en-US" w:eastAsia="zh-CN"/>
        </w:rPr>
        <w:t>.3 通信、交通与运输保障</w:t>
      </w:r>
      <w:bookmarkEnd w:id="142"/>
      <w:bookmarkEnd w:id="143"/>
      <w:bookmarkEnd w:id="144"/>
      <w:bookmarkEnd w:id="145"/>
      <w:bookmarkEnd w:id="146"/>
    </w:p>
    <w:p w14:paraId="7E4C5B87">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cs="宋体"/>
          <w:color w:val="auto"/>
          <w:sz w:val="28"/>
          <w:szCs w:val="28"/>
          <w:lang w:val="en-US" w:eastAsia="zh-CN"/>
        </w:rPr>
        <w:t>五通乡人民政府</w:t>
      </w:r>
      <w:r>
        <w:rPr>
          <w:rFonts w:hint="eastAsia" w:ascii="宋体" w:hAnsi="宋体" w:eastAsia="宋体" w:cs="宋体"/>
          <w:color w:val="auto"/>
          <w:sz w:val="28"/>
          <w:szCs w:val="28"/>
          <w:lang w:val="en-US" w:eastAsia="zh-CN"/>
        </w:rPr>
        <w:t>要建立健全突发环境事件应急通信保障体系，确保应急期间通信联络和信息传递需要。</w:t>
      </w:r>
    </w:p>
    <w:p w14:paraId="47BBF606">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cs="宋体"/>
          <w:color w:val="auto"/>
          <w:sz w:val="28"/>
          <w:szCs w:val="28"/>
          <w:lang w:val="en-US" w:eastAsia="zh-CN"/>
        </w:rPr>
        <w:t>五通乡人民政府协助</w:t>
      </w:r>
      <w:r>
        <w:rPr>
          <w:rFonts w:hint="eastAsia" w:ascii="宋体" w:hAnsi="宋体" w:eastAsia="宋体" w:cs="宋体"/>
          <w:color w:val="auto"/>
          <w:sz w:val="28"/>
          <w:szCs w:val="28"/>
          <w:lang w:val="en-US" w:eastAsia="zh-CN"/>
        </w:rPr>
        <w:t>区交通运输委要健全公路、水运、铁路紧急运输保障体系，保障应急响应所需人员、物资、装备、器材等的运输。</w:t>
      </w:r>
    </w:p>
    <w:p w14:paraId="6BB387FA">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cs="宋体"/>
          <w:color w:val="auto"/>
          <w:sz w:val="28"/>
          <w:szCs w:val="28"/>
          <w:lang w:val="en-US" w:eastAsia="zh-CN"/>
        </w:rPr>
        <w:t>五通乡人民政府协助</w:t>
      </w:r>
      <w:r>
        <w:rPr>
          <w:rFonts w:hint="eastAsia" w:ascii="宋体" w:hAnsi="宋体" w:eastAsia="宋体" w:cs="宋体"/>
          <w:color w:val="auto"/>
          <w:sz w:val="28"/>
          <w:szCs w:val="28"/>
          <w:lang w:val="en-US" w:eastAsia="zh-CN"/>
        </w:rPr>
        <w:t>区公安局要加强应急交通管理，保障运送伤病员、应急救援人员、物资、装备、器材车辆的优先通行。</w:t>
      </w:r>
    </w:p>
    <w:p w14:paraId="35B170C4">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147" w:name="_Toc12696"/>
      <w:bookmarkStart w:id="148" w:name="_Toc186124994"/>
      <w:bookmarkStart w:id="149" w:name="_Toc186124169"/>
      <w:bookmarkStart w:id="150" w:name="_Toc31802"/>
      <w:bookmarkStart w:id="151" w:name="_Toc186123006"/>
      <w:r>
        <w:rPr>
          <w:rFonts w:hint="eastAsia" w:ascii="宋体" w:hAnsi="宋体" w:cs="宋体"/>
          <w:b/>
          <w:bCs/>
          <w:color w:val="000000"/>
          <w:sz w:val="28"/>
          <w:szCs w:val="28"/>
          <w:lang w:val="en-US" w:eastAsia="zh-CN"/>
        </w:rPr>
        <w:t>6</w:t>
      </w:r>
      <w:r>
        <w:rPr>
          <w:rFonts w:hint="eastAsia" w:ascii="宋体" w:hAnsi="宋体" w:eastAsia="宋体" w:cs="宋体"/>
          <w:b/>
          <w:bCs/>
          <w:color w:val="000000"/>
          <w:sz w:val="28"/>
          <w:szCs w:val="28"/>
          <w:lang w:val="en-US" w:eastAsia="zh-CN"/>
        </w:rPr>
        <w:t>.4 技术保障</w:t>
      </w:r>
      <w:bookmarkEnd w:id="147"/>
      <w:bookmarkEnd w:id="148"/>
      <w:bookmarkEnd w:id="149"/>
      <w:bookmarkEnd w:id="150"/>
      <w:bookmarkEnd w:id="151"/>
    </w:p>
    <w:p w14:paraId="3589CC3F">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cs="宋体"/>
          <w:color w:val="auto"/>
          <w:sz w:val="28"/>
          <w:szCs w:val="28"/>
          <w:lang w:val="en-US" w:eastAsia="zh-CN"/>
        </w:rPr>
        <w:t>五通乡人民政府</w:t>
      </w:r>
      <w:r>
        <w:rPr>
          <w:rFonts w:hint="eastAsia" w:ascii="宋体" w:hAnsi="宋体" w:eastAsia="宋体" w:cs="宋体"/>
          <w:color w:val="auto"/>
          <w:sz w:val="28"/>
          <w:szCs w:val="28"/>
          <w:lang w:val="en-US" w:eastAsia="zh-CN"/>
        </w:rPr>
        <w:t>要加强环境应急指挥系统的优化，依托环境应急指挥技术平台，实现信息综合集成、分析处理、污染损害评估的智能化和数字化。财政</w:t>
      </w:r>
      <w:r>
        <w:rPr>
          <w:rFonts w:hint="eastAsia" w:cs="宋体"/>
          <w:color w:val="auto"/>
          <w:sz w:val="28"/>
          <w:szCs w:val="28"/>
          <w:lang w:val="en-US" w:eastAsia="zh-CN"/>
        </w:rPr>
        <w:t>部门</w:t>
      </w:r>
      <w:r>
        <w:rPr>
          <w:rFonts w:hint="eastAsia" w:ascii="宋体" w:hAnsi="宋体" w:eastAsia="宋体" w:cs="宋体"/>
          <w:color w:val="auto"/>
          <w:sz w:val="28"/>
          <w:szCs w:val="28"/>
          <w:lang w:val="en-US" w:eastAsia="zh-CN"/>
        </w:rPr>
        <w:t>及相关部门要支持先进技术和装备的研发。同时，</w:t>
      </w:r>
      <w:r>
        <w:rPr>
          <w:rFonts w:hint="eastAsia" w:cs="宋体"/>
          <w:color w:val="auto"/>
          <w:sz w:val="28"/>
          <w:szCs w:val="28"/>
          <w:lang w:val="en-US" w:eastAsia="zh-CN"/>
        </w:rPr>
        <w:t>五通乡人民政府应急</w:t>
      </w:r>
      <w:r>
        <w:rPr>
          <w:rFonts w:hint="eastAsia" w:ascii="宋体" w:hAnsi="宋体" w:eastAsia="宋体" w:cs="宋体"/>
          <w:color w:val="auto"/>
          <w:sz w:val="28"/>
          <w:szCs w:val="28"/>
          <w:lang w:val="en-US" w:eastAsia="zh-CN"/>
        </w:rPr>
        <w:t>指挥部各成员单位应当根据职责在部门应急预案中纳入预防引发环境污染事故及次生、衍生突发环境事件的有关内容，建立完善有关防范水环境污染的基本信息。主要包括：</w:t>
      </w:r>
    </w:p>
    <w:p w14:paraId="43E95F5E">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（1）流域水系河流数量和分布图，水文参数、水质现状、流域人口、饮用水源保护区等基本信息。</w:t>
      </w:r>
    </w:p>
    <w:p w14:paraId="55DDF149">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（2）工业和农业生产、使用、贮存、销售、运输的环境风险物质的种类、数量、贮存位置及防范措施。</w:t>
      </w:r>
    </w:p>
    <w:p w14:paraId="193CD32D">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（3）工业、生活、畜禽养殖等污染源的排放、数量及分布情况。</w:t>
      </w:r>
    </w:p>
    <w:p w14:paraId="56266D2E">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（4）要落实“找空间、定方案、抓演练”三个要素，编制流域“一河一策一图”环境应急响应方案，提前做好技术保障应急准备。</w:t>
      </w:r>
    </w:p>
    <w:p w14:paraId="1CCA5992">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参与应急处置的有关单位要开展突发环境污染的污染分析、扩散模型和风险评估研究工作，完善各类应急预案，确保应急处置科学、规范、安全。</w:t>
      </w:r>
    </w:p>
    <w:p w14:paraId="5B863A80">
      <w:pPr>
        <w:rPr>
          <w:rFonts w:hint="default" w:ascii="宋体" w:hAnsi="宋体" w:eastAsia="宋体" w:cs="宋体"/>
          <w:color w:val="auto"/>
          <w:kern w:val="2"/>
          <w:sz w:val="28"/>
          <w:szCs w:val="28"/>
          <w:lang w:val="en-US" w:eastAsia="zh-CN" w:bidi="ar-SA"/>
        </w:rPr>
      </w:pPr>
      <w:r>
        <w:rPr>
          <w:rFonts w:hint="default" w:ascii="宋体" w:hAnsi="宋体" w:eastAsia="宋体" w:cs="宋体"/>
          <w:color w:val="auto"/>
          <w:kern w:val="2"/>
          <w:sz w:val="28"/>
          <w:szCs w:val="28"/>
          <w:lang w:val="en-US" w:eastAsia="zh-CN" w:bidi="ar-SA"/>
        </w:rPr>
        <w:br w:type="page"/>
      </w:r>
    </w:p>
    <w:p w14:paraId="1BE55751">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firstLineChars="0"/>
        <w:jc w:val="center"/>
        <w:textAlignment w:val="auto"/>
        <w:outlineLvl w:val="0"/>
        <w:rPr>
          <w:rFonts w:hint="eastAsia" w:ascii="宋体" w:hAnsi="宋体" w:eastAsia="宋体" w:cs="宋体"/>
          <w:b/>
          <w:bCs/>
          <w:color w:val="auto"/>
          <w:kern w:val="2"/>
          <w:sz w:val="32"/>
          <w:szCs w:val="32"/>
          <w:lang w:val="en-US" w:eastAsia="zh-CN" w:bidi="ar-SA"/>
        </w:rPr>
      </w:pPr>
      <w:bookmarkStart w:id="152" w:name="_Toc8967"/>
      <w:bookmarkStart w:id="153" w:name="_Toc21493"/>
      <w:bookmarkStart w:id="154" w:name="_Toc11776"/>
      <w:r>
        <w:rPr>
          <w:rFonts w:hint="eastAsia" w:ascii="宋体" w:hAnsi="宋体" w:cs="宋体"/>
          <w:b/>
          <w:bCs/>
          <w:color w:val="auto"/>
          <w:kern w:val="2"/>
          <w:sz w:val="32"/>
          <w:szCs w:val="32"/>
          <w:lang w:val="en-US" w:eastAsia="zh-CN" w:bidi="ar-SA"/>
        </w:rPr>
        <w:t>7</w:t>
      </w:r>
      <w:r>
        <w:rPr>
          <w:rFonts w:hint="eastAsia" w:ascii="宋体" w:hAnsi="宋体" w:eastAsia="宋体" w:cs="宋体"/>
          <w:b/>
          <w:bCs/>
          <w:color w:val="auto"/>
          <w:kern w:val="2"/>
          <w:sz w:val="32"/>
          <w:szCs w:val="32"/>
          <w:lang w:val="en-US" w:eastAsia="zh-CN" w:bidi="ar-SA"/>
        </w:rPr>
        <w:t xml:space="preserve"> 监督管理</w:t>
      </w:r>
      <w:bookmarkEnd w:id="152"/>
      <w:bookmarkEnd w:id="153"/>
      <w:bookmarkEnd w:id="154"/>
    </w:p>
    <w:p w14:paraId="10F32BB9">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firstLineChars="0"/>
        <w:jc w:val="left"/>
        <w:textAlignment w:val="auto"/>
        <w:outlineLvl w:val="1"/>
        <w:rPr>
          <w:rFonts w:hint="eastAsia" w:ascii="宋体" w:hAnsi="宋体" w:eastAsia="宋体" w:cs="宋体"/>
          <w:b/>
          <w:bCs/>
          <w:color w:val="auto"/>
          <w:kern w:val="2"/>
          <w:sz w:val="32"/>
          <w:szCs w:val="32"/>
          <w:lang w:val="en-US" w:eastAsia="zh-CN" w:bidi="ar-SA"/>
        </w:rPr>
      </w:pPr>
      <w:bookmarkStart w:id="155" w:name="_Toc20048"/>
      <w:bookmarkStart w:id="156" w:name="_Toc19317"/>
      <w:bookmarkStart w:id="157" w:name="_Toc14704"/>
      <w:r>
        <w:rPr>
          <w:rFonts w:hint="eastAsia" w:ascii="宋体" w:hAnsi="宋体" w:cs="宋体"/>
          <w:b/>
          <w:bCs/>
          <w:color w:val="auto"/>
          <w:kern w:val="2"/>
          <w:sz w:val="32"/>
          <w:szCs w:val="32"/>
          <w:lang w:val="en-US" w:eastAsia="zh-CN" w:bidi="ar-SA"/>
        </w:rPr>
        <w:t>7</w:t>
      </w:r>
      <w:r>
        <w:rPr>
          <w:rFonts w:hint="eastAsia" w:ascii="宋体" w:hAnsi="宋体" w:eastAsia="宋体" w:cs="宋体"/>
          <w:b/>
          <w:bCs/>
          <w:color w:val="auto"/>
          <w:kern w:val="2"/>
          <w:sz w:val="32"/>
          <w:szCs w:val="32"/>
          <w:lang w:val="en-US" w:eastAsia="zh-CN" w:bidi="ar-SA"/>
        </w:rPr>
        <w:t>.1 应急预案演练</w:t>
      </w:r>
      <w:bookmarkEnd w:id="155"/>
      <w:bookmarkEnd w:id="156"/>
      <w:bookmarkEnd w:id="157"/>
    </w:p>
    <w:p w14:paraId="6DAE6B5E">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default" w:ascii="宋体" w:hAnsi="宋体" w:eastAsia="宋体" w:cs="宋体"/>
          <w:color w:val="auto"/>
          <w:sz w:val="28"/>
          <w:szCs w:val="28"/>
          <w:lang w:val="en-US" w:eastAsia="zh-CN"/>
        </w:rPr>
        <w:t>为提高环境风险防范意识，增强环境应急处置能力，</w:t>
      </w:r>
      <w:r>
        <w:rPr>
          <w:rFonts w:hint="eastAsia" w:ascii="宋体" w:hAnsi="宋体" w:cs="宋体"/>
          <w:color w:val="auto"/>
          <w:sz w:val="28"/>
          <w:szCs w:val="28"/>
          <w:lang w:val="en-US" w:eastAsia="zh-CN"/>
        </w:rPr>
        <w:t>五通乡</w:t>
      </w:r>
      <w:r>
        <w:rPr>
          <w:rFonts w:hint="eastAsia" w:ascii="宋体" w:hAnsi="宋体" w:eastAsia="宋体" w:cs="宋体"/>
          <w:color w:val="auto"/>
          <w:sz w:val="28"/>
          <w:szCs w:val="28"/>
          <w:lang w:val="en-US" w:eastAsia="zh-CN"/>
        </w:rPr>
        <w:t>应</w:t>
      </w:r>
      <w:r>
        <w:rPr>
          <w:rFonts w:hint="default" w:ascii="宋体" w:hAnsi="宋体" w:eastAsia="宋体" w:cs="宋体"/>
          <w:color w:val="auto"/>
          <w:sz w:val="28"/>
          <w:szCs w:val="28"/>
          <w:lang w:val="en-US" w:eastAsia="zh-CN"/>
        </w:rPr>
        <w:t>定期开展环境应急预案的实际演练活动。演练活动将根据不同事项制定相应的紧急预案，结合实际作出计划，实施演练，其规定如下：</w:t>
      </w:r>
    </w:p>
    <w:p w14:paraId="4873CAD0">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default" w:ascii="宋体" w:hAnsi="宋体" w:eastAsia="宋体" w:cs="宋体"/>
          <w:color w:val="auto"/>
          <w:sz w:val="28"/>
          <w:szCs w:val="28"/>
          <w:lang w:val="en-US" w:eastAsia="zh-CN"/>
        </w:rPr>
        <w:t>1）应急演</w:t>
      </w:r>
      <w:r>
        <w:rPr>
          <w:rFonts w:hint="eastAsia" w:ascii="宋体" w:hAnsi="宋体" w:eastAsia="宋体" w:cs="宋体"/>
          <w:color w:val="auto"/>
          <w:sz w:val="28"/>
          <w:szCs w:val="28"/>
          <w:lang w:val="en-US" w:eastAsia="zh-CN"/>
        </w:rPr>
        <w:t>练</w:t>
      </w:r>
      <w:r>
        <w:rPr>
          <w:rFonts w:hint="default" w:ascii="宋体" w:hAnsi="宋体" w:eastAsia="宋体" w:cs="宋体"/>
          <w:color w:val="auto"/>
          <w:sz w:val="28"/>
          <w:szCs w:val="28"/>
          <w:lang w:val="en-US" w:eastAsia="zh-CN"/>
        </w:rPr>
        <w:t>至少每年一次；</w:t>
      </w:r>
    </w:p>
    <w:p w14:paraId="3505FD72">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default" w:ascii="宋体" w:hAnsi="宋体" w:eastAsia="宋体" w:cs="宋体"/>
          <w:color w:val="auto"/>
          <w:sz w:val="28"/>
          <w:szCs w:val="28"/>
          <w:lang w:val="en-US" w:eastAsia="zh-CN"/>
        </w:rPr>
        <w:t>2）</w:t>
      </w:r>
      <w:r>
        <w:rPr>
          <w:rFonts w:hint="eastAsia" w:ascii="宋体" w:hAnsi="宋体" w:eastAsia="宋体" w:cs="宋体"/>
          <w:color w:val="auto"/>
          <w:sz w:val="28"/>
          <w:szCs w:val="28"/>
          <w:lang w:val="en-US" w:eastAsia="zh-CN"/>
        </w:rPr>
        <w:t>演练</w:t>
      </w:r>
      <w:r>
        <w:rPr>
          <w:rFonts w:hint="default" w:ascii="宋体" w:hAnsi="宋体" w:eastAsia="宋体" w:cs="宋体"/>
          <w:color w:val="auto"/>
          <w:sz w:val="28"/>
          <w:szCs w:val="28"/>
          <w:lang w:val="en-US" w:eastAsia="zh-CN"/>
        </w:rPr>
        <w:t>事项按照应急预案的编制，逐项</w:t>
      </w:r>
      <w:r>
        <w:rPr>
          <w:rFonts w:hint="eastAsia" w:ascii="宋体" w:hAnsi="宋体" w:eastAsia="宋体" w:cs="宋体"/>
          <w:color w:val="auto"/>
          <w:sz w:val="28"/>
          <w:szCs w:val="28"/>
          <w:lang w:val="en-US" w:eastAsia="zh-CN"/>
        </w:rPr>
        <w:t>反复地演练</w:t>
      </w:r>
      <w:r>
        <w:rPr>
          <w:rFonts w:hint="default" w:ascii="宋体" w:hAnsi="宋体" w:eastAsia="宋体" w:cs="宋体"/>
          <w:color w:val="auto"/>
          <w:sz w:val="28"/>
          <w:szCs w:val="28"/>
          <w:lang w:val="en-US" w:eastAsia="zh-CN"/>
        </w:rPr>
        <w:t>；</w:t>
      </w:r>
    </w:p>
    <w:p w14:paraId="4F91B76C">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default" w:ascii="宋体" w:hAnsi="宋体" w:eastAsia="宋体" w:cs="宋体"/>
          <w:color w:val="auto"/>
          <w:sz w:val="28"/>
          <w:szCs w:val="28"/>
          <w:lang w:val="en-US" w:eastAsia="zh-CN"/>
        </w:rPr>
        <w:t>3）明确参加演练的人员，做到人人参加，人人熟练；</w:t>
      </w:r>
    </w:p>
    <w:p w14:paraId="2644793F">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4）组织辖区内企业开展联合应急演练；</w:t>
      </w:r>
    </w:p>
    <w:p w14:paraId="05A41F61">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default" w:ascii="宋体" w:hAnsi="宋体" w:eastAsia="宋体" w:cs="宋体"/>
          <w:color w:val="auto"/>
          <w:sz w:val="28"/>
          <w:szCs w:val="28"/>
          <w:lang w:val="en-US" w:eastAsia="zh-CN"/>
        </w:rPr>
        <w:t>4）每一次安排</w:t>
      </w:r>
      <w:r>
        <w:rPr>
          <w:rFonts w:hint="eastAsia" w:ascii="宋体" w:hAnsi="宋体" w:eastAsia="宋体" w:cs="宋体"/>
          <w:color w:val="auto"/>
          <w:sz w:val="28"/>
          <w:szCs w:val="28"/>
          <w:lang w:val="en-US" w:eastAsia="zh-CN"/>
        </w:rPr>
        <w:t>专人</w:t>
      </w:r>
      <w:r>
        <w:rPr>
          <w:rFonts w:hint="default" w:ascii="宋体" w:hAnsi="宋体" w:eastAsia="宋体" w:cs="宋体"/>
          <w:color w:val="auto"/>
          <w:sz w:val="28"/>
          <w:szCs w:val="28"/>
          <w:lang w:val="en-US" w:eastAsia="zh-CN"/>
        </w:rPr>
        <w:t>做好演练文字记录、图片音像资料，并存档；</w:t>
      </w:r>
    </w:p>
    <w:p w14:paraId="7FAA76BC">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default" w:ascii="宋体" w:hAnsi="宋体" w:eastAsia="宋体" w:cs="宋体"/>
          <w:color w:val="auto"/>
          <w:sz w:val="28"/>
          <w:szCs w:val="28"/>
          <w:lang w:val="en-US" w:eastAsia="zh-CN"/>
        </w:rPr>
        <w:t>5）每一事项演练后，对演练过程进行评估、总结，以便再次演练时进行修正，为完善预案提供依据。</w:t>
      </w:r>
    </w:p>
    <w:p w14:paraId="00225B11">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firstLineChars="0"/>
        <w:jc w:val="left"/>
        <w:textAlignment w:val="auto"/>
        <w:outlineLvl w:val="1"/>
        <w:rPr>
          <w:rFonts w:hint="eastAsia" w:ascii="宋体" w:hAnsi="宋体" w:eastAsia="宋体" w:cs="宋体"/>
          <w:b/>
          <w:bCs/>
          <w:color w:val="auto"/>
          <w:kern w:val="2"/>
          <w:sz w:val="32"/>
          <w:szCs w:val="32"/>
          <w:lang w:val="en-US" w:eastAsia="zh-CN" w:bidi="ar-SA"/>
        </w:rPr>
      </w:pPr>
      <w:bookmarkStart w:id="158" w:name="_Toc12907"/>
      <w:bookmarkStart w:id="159" w:name="_Toc8627"/>
      <w:bookmarkStart w:id="160" w:name="_Toc29035"/>
      <w:bookmarkStart w:id="161" w:name="_Toc11370"/>
      <w:bookmarkStart w:id="162" w:name="_Toc4714"/>
      <w:r>
        <w:rPr>
          <w:rFonts w:hint="eastAsia" w:ascii="宋体" w:hAnsi="宋体" w:cs="宋体"/>
          <w:b/>
          <w:bCs/>
          <w:color w:val="auto"/>
          <w:kern w:val="2"/>
          <w:sz w:val="32"/>
          <w:szCs w:val="32"/>
          <w:lang w:val="en-US" w:eastAsia="zh-CN" w:bidi="ar-SA"/>
        </w:rPr>
        <w:t>7</w:t>
      </w:r>
      <w:r>
        <w:rPr>
          <w:rFonts w:hint="eastAsia" w:ascii="宋体" w:hAnsi="宋体" w:eastAsia="宋体" w:cs="宋体"/>
          <w:b/>
          <w:bCs/>
          <w:color w:val="auto"/>
          <w:kern w:val="2"/>
          <w:sz w:val="32"/>
          <w:szCs w:val="32"/>
          <w:lang w:val="en-US" w:eastAsia="zh-CN" w:bidi="ar-SA"/>
        </w:rPr>
        <w:t>.2 宣传</w:t>
      </w:r>
      <w:bookmarkEnd w:id="158"/>
      <w:bookmarkEnd w:id="159"/>
      <w:bookmarkEnd w:id="160"/>
      <w:bookmarkEnd w:id="161"/>
      <w:bookmarkEnd w:id="162"/>
    </w:p>
    <w:p w14:paraId="0FA4DBA0">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重庆市开州区</w:t>
      </w:r>
      <w:r>
        <w:rPr>
          <w:rFonts w:hint="eastAsia" w:ascii="宋体" w:hAnsi="宋体" w:cs="宋体"/>
          <w:color w:val="auto"/>
          <w:sz w:val="28"/>
          <w:szCs w:val="28"/>
          <w:lang w:val="en-US" w:eastAsia="zh-CN"/>
        </w:rPr>
        <w:t>五通乡</w:t>
      </w:r>
      <w:r>
        <w:rPr>
          <w:rFonts w:hint="eastAsia" w:ascii="宋体" w:hAnsi="宋体" w:eastAsia="宋体" w:cs="宋体"/>
          <w:color w:val="auto"/>
          <w:sz w:val="28"/>
          <w:szCs w:val="28"/>
          <w:lang w:val="en-US" w:eastAsia="zh-CN"/>
        </w:rPr>
        <w:t>辖区内各企业应向员工说明本单位所涉及的环境风险物质的危险特性及发生事件可能造成的危害。广泛宣传突发环境事件有关法律法规和预防、避险、避灾、自救、互救的应急常识。增强职工应对突发环境事件的知识，增强应对突发环境事件的能力。</w:t>
      </w:r>
    </w:p>
    <w:p w14:paraId="230A254F">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掌握预案、应用预案处置突发环境事件。</w:t>
      </w:r>
    </w:p>
    <w:p w14:paraId="5FCA7329">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firstLineChars="0"/>
        <w:jc w:val="left"/>
        <w:textAlignment w:val="auto"/>
        <w:outlineLvl w:val="1"/>
        <w:rPr>
          <w:rFonts w:hint="eastAsia" w:ascii="宋体" w:hAnsi="宋体" w:eastAsia="宋体" w:cs="宋体"/>
          <w:b/>
          <w:bCs/>
          <w:color w:val="auto"/>
          <w:kern w:val="2"/>
          <w:sz w:val="32"/>
          <w:szCs w:val="32"/>
          <w:lang w:val="en-US" w:eastAsia="zh-CN" w:bidi="ar-SA"/>
        </w:rPr>
      </w:pPr>
      <w:bookmarkStart w:id="163" w:name="_Toc23169"/>
      <w:bookmarkStart w:id="164" w:name="_Toc6526"/>
      <w:bookmarkStart w:id="165" w:name="_Toc27877"/>
      <w:bookmarkStart w:id="166" w:name="_Toc6999"/>
      <w:r>
        <w:rPr>
          <w:rFonts w:hint="eastAsia" w:ascii="宋体" w:hAnsi="宋体" w:cs="宋体"/>
          <w:b/>
          <w:bCs/>
          <w:color w:val="auto"/>
          <w:kern w:val="2"/>
          <w:sz w:val="32"/>
          <w:szCs w:val="32"/>
          <w:lang w:val="en-US" w:eastAsia="zh-CN" w:bidi="ar-SA"/>
        </w:rPr>
        <w:t>7</w:t>
      </w:r>
      <w:r>
        <w:rPr>
          <w:rFonts w:hint="eastAsia" w:ascii="宋体" w:hAnsi="宋体" w:eastAsia="宋体" w:cs="宋体"/>
          <w:b/>
          <w:bCs/>
          <w:color w:val="auto"/>
          <w:kern w:val="2"/>
          <w:sz w:val="32"/>
          <w:szCs w:val="32"/>
          <w:lang w:val="en-US" w:eastAsia="zh-CN" w:bidi="ar-SA"/>
        </w:rPr>
        <w:t>.3 培训</w:t>
      </w:r>
      <w:bookmarkEnd w:id="163"/>
      <w:bookmarkEnd w:id="164"/>
      <w:bookmarkEnd w:id="165"/>
      <w:bookmarkEnd w:id="166"/>
    </w:p>
    <w:p w14:paraId="6A5368E8">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default" w:ascii="宋体" w:hAnsi="宋体" w:eastAsia="宋体" w:cs="宋体"/>
          <w:color w:val="auto"/>
          <w:sz w:val="28"/>
          <w:szCs w:val="28"/>
          <w:lang w:val="en-US" w:eastAsia="zh-CN"/>
        </w:rPr>
        <w:t>培训基本任务是：在突发环境事件情况下的快速抢险堵源，及时营救伤员、正确指导和帮助群众防护与撤离、有效消除环境危害，开展现场急救和伤员转送等技能和应急反应综合素质，有效降低突发环境事件对周边环境的危害，减少突发环境事件造成的损失。</w:t>
      </w:r>
    </w:p>
    <w:p w14:paraId="21A89A84">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firstLineChars="0"/>
        <w:jc w:val="left"/>
        <w:textAlignment w:val="auto"/>
        <w:outlineLvl w:val="1"/>
        <w:rPr>
          <w:rFonts w:hint="default" w:ascii="宋体" w:hAnsi="宋体" w:eastAsia="宋体" w:cs="宋体"/>
          <w:b/>
          <w:bCs/>
          <w:color w:val="auto"/>
          <w:kern w:val="2"/>
          <w:sz w:val="32"/>
          <w:szCs w:val="32"/>
          <w:lang w:val="en-US" w:eastAsia="zh-CN" w:bidi="ar-SA"/>
        </w:rPr>
      </w:pPr>
      <w:bookmarkStart w:id="167" w:name="_Toc29430"/>
      <w:bookmarkStart w:id="168" w:name="_Toc23132"/>
      <w:bookmarkStart w:id="169" w:name="_Toc26469"/>
      <w:bookmarkStart w:id="170" w:name="_Toc5163"/>
      <w:r>
        <w:rPr>
          <w:rFonts w:hint="eastAsia" w:ascii="宋体" w:hAnsi="宋体" w:cs="宋体"/>
          <w:b/>
          <w:bCs/>
          <w:color w:val="auto"/>
          <w:kern w:val="2"/>
          <w:sz w:val="32"/>
          <w:szCs w:val="32"/>
          <w:lang w:val="en-US" w:eastAsia="zh-CN" w:bidi="ar-SA"/>
        </w:rPr>
        <w:t>7</w:t>
      </w:r>
      <w:r>
        <w:rPr>
          <w:rFonts w:hint="eastAsia" w:ascii="宋体" w:hAnsi="宋体" w:eastAsia="宋体" w:cs="宋体"/>
          <w:b/>
          <w:bCs/>
          <w:color w:val="auto"/>
          <w:kern w:val="2"/>
          <w:sz w:val="32"/>
          <w:szCs w:val="32"/>
          <w:lang w:val="en-US" w:eastAsia="zh-CN" w:bidi="ar-SA"/>
        </w:rPr>
        <w:t>.4 预案管理</w:t>
      </w:r>
      <w:bookmarkEnd w:id="167"/>
      <w:bookmarkEnd w:id="168"/>
      <w:bookmarkEnd w:id="169"/>
      <w:bookmarkEnd w:id="170"/>
    </w:p>
    <w:p w14:paraId="4BDD9D85">
      <w:pPr>
        <w:keepNext w:val="0"/>
        <w:keepLines w:val="0"/>
        <w:pageBreakBefore w:val="0"/>
        <w:widowControl w:val="0"/>
        <w:kinsoku/>
        <w:wordWrap/>
        <w:overflowPunct/>
        <w:topLinePunct w:val="0"/>
        <w:autoSpaceDE/>
        <w:autoSpaceDN/>
        <w:bidi w:val="0"/>
        <w:adjustRightInd/>
        <w:snapToGrid/>
        <w:spacing w:line="360" w:lineRule="auto"/>
        <w:ind w:left="0" w:firstLine="562" w:firstLineChars="200"/>
        <w:textAlignment w:val="auto"/>
        <w:outlineLvl w:val="2"/>
        <w:rPr>
          <w:rFonts w:hint="eastAsia" w:ascii="宋体" w:hAnsi="宋体" w:eastAsia="宋体" w:cs="宋体"/>
          <w:b/>
          <w:bCs/>
          <w:color w:val="auto"/>
          <w:kern w:val="2"/>
          <w:sz w:val="28"/>
          <w:szCs w:val="28"/>
          <w:lang w:val="en-US" w:eastAsia="zh-CN" w:bidi="ar-SA"/>
        </w:rPr>
      </w:pPr>
      <w:r>
        <w:rPr>
          <w:rFonts w:hint="eastAsia" w:ascii="宋体" w:hAnsi="宋体" w:cs="宋体"/>
          <w:b/>
          <w:bCs/>
          <w:color w:val="auto"/>
          <w:kern w:val="2"/>
          <w:sz w:val="28"/>
          <w:szCs w:val="28"/>
          <w:lang w:val="en-US" w:eastAsia="zh-CN" w:bidi="ar-SA"/>
        </w:rPr>
        <w:t>7</w:t>
      </w:r>
      <w:r>
        <w:rPr>
          <w:rFonts w:hint="eastAsia" w:ascii="宋体" w:hAnsi="宋体" w:eastAsia="宋体" w:cs="宋体"/>
          <w:b/>
          <w:bCs/>
          <w:color w:val="auto"/>
          <w:kern w:val="2"/>
          <w:sz w:val="28"/>
          <w:szCs w:val="28"/>
          <w:lang w:val="en-US" w:eastAsia="zh-CN" w:bidi="ar-SA"/>
        </w:rPr>
        <w:t>.4.1 预案的制定和解释</w:t>
      </w:r>
    </w:p>
    <w:p w14:paraId="76AF6923">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五通乡通过对辖区</w:t>
      </w:r>
      <w:r>
        <w:rPr>
          <w:rFonts w:hint="default" w:ascii="宋体" w:hAnsi="宋体" w:eastAsia="宋体" w:cs="宋体"/>
          <w:color w:val="auto"/>
          <w:sz w:val="28"/>
          <w:szCs w:val="28"/>
          <w:lang w:val="en-US" w:eastAsia="zh-CN"/>
        </w:rPr>
        <w:t>重点环境风险源定期开展预案评估工作，按有关规定及时组织预案修订工作</w:t>
      </w:r>
      <w:r>
        <w:rPr>
          <w:rFonts w:hint="eastAsia" w:ascii="宋体" w:hAnsi="宋体" w:eastAsia="宋体" w:cs="宋体"/>
          <w:color w:val="auto"/>
          <w:sz w:val="28"/>
          <w:szCs w:val="28"/>
          <w:lang w:val="en-US" w:eastAsia="zh-CN"/>
        </w:rPr>
        <w:t>，原则上不超过三年</w:t>
      </w:r>
      <w:r>
        <w:rPr>
          <w:rFonts w:hint="default" w:ascii="宋体" w:hAnsi="宋体" w:eastAsia="宋体" w:cs="宋体"/>
          <w:color w:val="auto"/>
          <w:sz w:val="28"/>
          <w:szCs w:val="28"/>
          <w:lang w:val="en-US" w:eastAsia="zh-CN"/>
        </w:rPr>
        <w:t>。</w:t>
      </w:r>
    </w:p>
    <w:p w14:paraId="6CA67250">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default" w:ascii="宋体" w:hAnsi="宋体" w:eastAsia="宋体" w:cs="宋体"/>
          <w:color w:val="auto"/>
          <w:sz w:val="28"/>
          <w:szCs w:val="28"/>
          <w:lang w:val="en-US" w:eastAsia="zh-CN"/>
        </w:rPr>
        <w:t>本预案由</w:t>
      </w:r>
      <w:r>
        <w:rPr>
          <w:rFonts w:hint="eastAsia" w:ascii="宋体" w:hAnsi="宋体" w:eastAsia="宋体" w:cs="宋体"/>
          <w:color w:val="auto"/>
          <w:sz w:val="28"/>
          <w:szCs w:val="28"/>
          <w:lang w:val="en-US" w:eastAsia="zh-CN"/>
        </w:rPr>
        <w:t>重庆市开州区五通乡人民政府</w:t>
      </w:r>
      <w:r>
        <w:rPr>
          <w:rFonts w:hint="default" w:ascii="宋体" w:hAnsi="宋体" w:eastAsia="宋体" w:cs="宋体"/>
          <w:color w:val="auto"/>
          <w:sz w:val="28"/>
          <w:szCs w:val="28"/>
          <w:lang w:val="en-US" w:eastAsia="zh-CN"/>
        </w:rPr>
        <w:t>负责解释</w:t>
      </w:r>
    </w:p>
    <w:p w14:paraId="1B0B8D2D">
      <w:pPr>
        <w:keepNext w:val="0"/>
        <w:keepLines w:val="0"/>
        <w:pageBreakBefore w:val="0"/>
        <w:widowControl w:val="0"/>
        <w:kinsoku/>
        <w:wordWrap/>
        <w:overflowPunct/>
        <w:topLinePunct w:val="0"/>
        <w:autoSpaceDE/>
        <w:autoSpaceDN/>
        <w:bidi w:val="0"/>
        <w:adjustRightInd/>
        <w:snapToGrid/>
        <w:spacing w:line="360" w:lineRule="auto"/>
        <w:ind w:left="0" w:firstLine="562" w:firstLineChars="200"/>
        <w:textAlignment w:val="auto"/>
        <w:outlineLvl w:val="2"/>
        <w:rPr>
          <w:rFonts w:hint="eastAsia" w:ascii="宋体" w:hAnsi="宋体" w:eastAsia="宋体" w:cs="宋体"/>
          <w:b/>
          <w:bCs/>
          <w:color w:val="auto"/>
          <w:kern w:val="2"/>
          <w:sz w:val="28"/>
          <w:szCs w:val="28"/>
          <w:lang w:val="en-US" w:eastAsia="zh-CN" w:bidi="ar-SA"/>
        </w:rPr>
      </w:pPr>
      <w:r>
        <w:rPr>
          <w:rFonts w:hint="eastAsia" w:ascii="宋体" w:hAnsi="宋体" w:eastAsia="宋体" w:cs="宋体"/>
          <w:b/>
          <w:bCs/>
          <w:color w:val="auto"/>
          <w:kern w:val="2"/>
          <w:sz w:val="28"/>
          <w:szCs w:val="28"/>
          <w:lang w:val="en-US" w:eastAsia="zh-CN" w:bidi="ar-SA"/>
        </w:rPr>
        <w:t>7.4.2 实施时间</w:t>
      </w:r>
    </w:p>
    <w:p w14:paraId="28514ED7">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本预案自印发之日起实施。</w:t>
      </w:r>
    </w:p>
    <w:p w14:paraId="71EBF852">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firstLineChars="0"/>
        <w:jc w:val="center"/>
        <w:textAlignment w:val="auto"/>
        <w:outlineLvl w:val="0"/>
        <w:rPr>
          <w:rFonts w:hint="eastAsia" w:ascii="宋体" w:hAnsi="宋体" w:eastAsia="宋体" w:cs="宋体"/>
          <w:b/>
          <w:bCs/>
          <w:color w:val="auto"/>
          <w:kern w:val="2"/>
          <w:sz w:val="32"/>
          <w:szCs w:val="32"/>
          <w:lang w:val="en-US" w:eastAsia="zh-CN" w:bidi="ar-SA"/>
        </w:rPr>
      </w:pPr>
      <w:r>
        <w:rPr>
          <w:rFonts w:hint="eastAsia" w:ascii="宋体" w:hAnsi="宋体" w:eastAsia="宋体" w:cs="宋体"/>
          <w:b/>
          <w:bCs/>
          <w:color w:val="auto"/>
          <w:kern w:val="2"/>
          <w:sz w:val="32"/>
          <w:szCs w:val="32"/>
          <w:lang w:val="en-US" w:eastAsia="zh-CN" w:bidi="ar-SA"/>
        </w:rPr>
        <w:br w:type="page"/>
      </w:r>
    </w:p>
    <w:bookmarkEnd w:id="45"/>
    <w:p w14:paraId="79671D75">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firstLineChars="0"/>
        <w:jc w:val="center"/>
        <w:textAlignment w:val="auto"/>
        <w:outlineLvl w:val="0"/>
        <w:rPr>
          <w:rFonts w:hint="eastAsia" w:ascii="宋体" w:hAnsi="宋体" w:eastAsia="宋体" w:cs="宋体"/>
          <w:b/>
          <w:bCs/>
          <w:color w:val="auto"/>
          <w:kern w:val="2"/>
          <w:sz w:val="32"/>
          <w:szCs w:val="32"/>
          <w:lang w:val="en-US" w:eastAsia="zh-CN" w:bidi="ar-SA"/>
        </w:rPr>
      </w:pPr>
      <w:bookmarkStart w:id="171" w:name="_Toc9732"/>
      <w:r>
        <w:rPr>
          <w:rFonts w:hint="eastAsia" w:ascii="宋体" w:hAnsi="宋体" w:eastAsia="宋体" w:cs="宋体"/>
          <w:b/>
          <w:bCs/>
          <w:color w:val="auto"/>
          <w:kern w:val="2"/>
          <w:sz w:val="32"/>
          <w:szCs w:val="32"/>
          <w:lang w:val="en-US" w:eastAsia="zh-CN" w:bidi="ar-SA"/>
        </w:rPr>
        <w:t>8 附件和附图</w:t>
      </w:r>
      <w:bookmarkEnd w:id="171"/>
    </w:p>
    <w:p w14:paraId="74AF0F4E">
      <w:pPr>
        <w:spacing w:line="360" w:lineRule="auto"/>
        <w:rPr>
          <w:sz w:val="24"/>
        </w:rPr>
      </w:pPr>
      <w:r>
        <w:rPr>
          <w:rFonts w:hint="eastAsia"/>
          <w:sz w:val="24"/>
        </w:rPr>
        <w:t>附件1：</w:t>
      </w:r>
      <w:r>
        <w:rPr>
          <w:rFonts w:hint="eastAsia"/>
          <w:sz w:val="24"/>
          <w:lang w:val="en-US" w:eastAsia="zh-CN"/>
        </w:rPr>
        <w:t>应急组织机构</w:t>
      </w:r>
      <w:r>
        <w:rPr>
          <w:rFonts w:hint="eastAsia"/>
          <w:sz w:val="24"/>
        </w:rPr>
        <w:t>名单</w:t>
      </w:r>
    </w:p>
    <w:p w14:paraId="5A59BCF9">
      <w:pPr>
        <w:spacing w:line="360" w:lineRule="auto"/>
        <w:rPr>
          <w:rFonts w:hint="eastAsia"/>
          <w:sz w:val="24"/>
        </w:rPr>
      </w:pPr>
      <w:r>
        <w:rPr>
          <w:rFonts w:hint="eastAsia"/>
          <w:sz w:val="24"/>
        </w:rPr>
        <w:t>附件2：</w:t>
      </w:r>
      <w:r>
        <w:rPr>
          <w:rFonts w:hint="eastAsia"/>
          <w:sz w:val="24"/>
          <w:lang w:eastAsia="zh-CN"/>
        </w:rPr>
        <w:t>五通乡</w:t>
      </w:r>
      <w:r>
        <w:rPr>
          <w:rFonts w:hint="eastAsia"/>
          <w:sz w:val="24"/>
        </w:rPr>
        <w:t>环境突发事件应急物资清单</w:t>
      </w:r>
    </w:p>
    <w:p w14:paraId="6A500E79">
      <w:pPr>
        <w:spacing w:line="360" w:lineRule="auto"/>
        <w:rPr>
          <w:sz w:val="24"/>
        </w:rPr>
      </w:pPr>
      <w:r>
        <w:rPr>
          <w:rFonts w:hint="eastAsia"/>
          <w:sz w:val="24"/>
        </w:rPr>
        <w:t>附件3：开州区生态环境局应急物资储备情况</w:t>
      </w:r>
    </w:p>
    <w:p w14:paraId="573CBD94">
      <w:pPr>
        <w:spacing w:line="360" w:lineRule="auto"/>
        <w:rPr>
          <w:sz w:val="24"/>
        </w:rPr>
      </w:pPr>
      <w:r>
        <w:rPr>
          <w:sz w:val="24"/>
        </w:rPr>
        <w:t>附图1</w:t>
      </w:r>
      <w:r>
        <w:rPr>
          <w:rFonts w:hint="eastAsia"/>
          <w:sz w:val="24"/>
        </w:rPr>
        <w:t>：开州区</w:t>
      </w:r>
      <w:r>
        <w:rPr>
          <w:sz w:val="24"/>
        </w:rPr>
        <w:t>行政区划图</w:t>
      </w:r>
    </w:p>
    <w:p w14:paraId="42C44ADD">
      <w:pPr>
        <w:spacing w:line="360" w:lineRule="auto"/>
        <w:rPr>
          <w:sz w:val="24"/>
        </w:rPr>
      </w:pPr>
      <w:r>
        <w:rPr>
          <w:sz w:val="24"/>
        </w:rPr>
        <w:t>附图</w:t>
      </w:r>
      <w:r>
        <w:rPr>
          <w:rFonts w:hint="eastAsia"/>
          <w:sz w:val="24"/>
        </w:rPr>
        <w:t>2：开州区水系图</w:t>
      </w:r>
    </w:p>
    <w:p w14:paraId="21941EDA">
      <w:pPr>
        <w:spacing w:line="360" w:lineRule="auto"/>
        <w:rPr>
          <w:rFonts w:hint="eastAsia"/>
          <w:sz w:val="24"/>
        </w:rPr>
      </w:pPr>
      <w:r>
        <w:rPr>
          <w:sz w:val="24"/>
        </w:rPr>
        <w:t>附图</w:t>
      </w:r>
      <w:r>
        <w:rPr>
          <w:rFonts w:hint="eastAsia"/>
          <w:sz w:val="24"/>
        </w:rPr>
        <w:t>3：</w:t>
      </w:r>
      <w:r>
        <w:rPr>
          <w:rFonts w:hint="eastAsia"/>
          <w:sz w:val="24"/>
          <w:lang w:eastAsia="zh-CN"/>
        </w:rPr>
        <w:t>开州区五通乡老林沟</w:t>
      </w:r>
      <w:r>
        <w:rPr>
          <w:rFonts w:hint="eastAsia"/>
          <w:sz w:val="24"/>
        </w:rPr>
        <w:t>水源地</w:t>
      </w:r>
      <w:r>
        <w:rPr>
          <w:sz w:val="24"/>
        </w:rPr>
        <w:t>地理位置图</w:t>
      </w:r>
    </w:p>
    <w:p w14:paraId="36026DC6">
      <w:pPr>
        <w:spacing w:line="360" w:lineRule="auto"/>
        <w:rPr>
          <w:rFonts w:hint="eastAsia"/>
          <w:sz w:val="24"/>
        </w:rPr>
      </w:pPr>
      <w:r>
        <w:rPr>
          <w:rFonts w:hint="eastAsia"/>
          <w:sz w:val="24"/>
        </w:rPr>
        <w:t>附图4：饮用水水源地及移动风险源分布图</w:t>
      </w:r>
    </w:p>
    <w:p w14:paraId="7B068646">
      <w:pPr>
        <w:widowControl/>
        <w:adjustRightInd w:val="0"/>
        <w:snapToGrid w:val="0"/>
        <w:spacing w:line="520" w:lineRule="exact"/>
        <w:ind w:firstLine="480" w:firstLineChars="200"/>
        <w:rPr>
          <w:rFonts w:hint="eastAsia"/>
          <w:sz w:val="24"/>
        </w:rPr>
      </w:pPr>
    </w:p>
    <w:p w14:paraId="7D73B04B">
      <w:pPr>
        <w:widowControl/>
        <w:adjustRightInd w:val="0"/>
        <w:snapToGrid w:val="0"/>
        <w:spacing w:line="520" w:lineRule="exact"/>
        <w:ind w:firstLine="480" w:firstLineChars="200"/>
        <w:rPr>
          <w:rFonts w:hint="eastAsia"/>
          <w:sz w:val="24"/>
        </w:rPr>
      </w:pPr>
    </w:p>
    <w:p w14:paraId="2381CD8B">
      <w:pPr>
        <w:widowControl/>
        <w:adjustRightInd w:val="0"/>
        <w:snapToGrid w:val="0"/>
        <w:spacing w:line="520" w:lineRule="exact"/>
        <w:ind w:firstLine="480" w:firstLineChars="200"/>
        <w:rPr>
          <w:rFonts w:hint="eastAsia"/>
          <w:sz w:val="24"/>
        </w:rPr>
      </w:pPr>
    </w:p>
    <w:p w14:paraId="3CCF96AE">
      <w:pPr>
        <w:widowControl/>
        <w:adjustRightInd w:val="0"/>
        <w:snapToGrid w:val="0"/>
        <w:spacing w:line="520" w:lineRule="exact"/>
        <w:ind w:firstLine="480" w:firstLineChars="200"/>
        <w:rPr>
          <w:rFonts w:hint="eastAsia"/>
          <w:sz w:val="24"/>
        </w:rPr>
      </w:pPr>
    </w:p>
    <w:p w14:paraId="6F708A63">
      <w:pPr>
        <w:widowControl/>
        <w:adjustRightInd w:val="0"/>
        <w:snapToGrid w:val="0"/>
        <w:spacing w:line="520" w:lineRule="exact"/>
        <w:ind w:firstLine="480" w:firstLineChars="200"/>
        <w:rPr>
          <w:rFonts w:hint="eastAsia"/>
          <w:sz w:val="24"/>
        </w:rPr>
      </w:pPr>
    </w:p>
    <w:p w14:paraId="387C8FC9">
      <w:pPr>
        <w:widowControl/>
        <w:adjustRightInd w:val="0"/>
        <w:snapToGrid w:val="0"/>
        <w:spacing w:line="520" w:lineRule="exact"/>
        <w:ind w:firstLine="480" w:firstLineChars="200"/>
        <w:rPr>
          <w:rFonts w:hint="eastAsia"/>
          <w:sz w:val="24"/>
        </w:rPr>
      </w:pPr>
    </w:p>
    <w:p w14:paraId="6BCE014E">
      <w:pPr>
        <w:widowControl/>
        <w:adjustRightInd w:val="0"/>
        <w:snapToGrid w:val="0"/>
        <w:spacing w:line="520" w:lineRule="exact"/>
        <w:ind w:firstLine="480" w:firstLineChars="200"/>
        <w:rPr>
          <w:rFonts w:hint="eastAsia"/>
          <w:sz w:val="24"/>
        </w:rPr>
      </w:pPr>
    </w:p>
    <w:p w14:paraId="5EFC06B5">
      <w:pPr>
        <w:widowControl/>
        <w:adjustRightInd w:val="0"/>
        <w:snapToGrid w:val="0"/>
        <w:spacing w:line="520" w:lineRule="exact"/>
        <w:ind w:firstLine="480" w:firstLineChars="200"/>
        <w:rPr>
          <w:rFonts w:hint="eastAsia"/>
          <w:sz w:val="24"/>
        </w:rPr>
      </w:pPr>
    </w:p>
    <w:p w14:paraId="369084CB">
      <w:pPr>
        <w:widowControl/>
        <w:adjustRightInd w:val="0"/>
        <w:snapToGrid w:val="0"/>
        <w:spacing w:line="520" w:lineRule="exact"/>
        <w:ind w:firstLine="480" w:firstLineChars="200"/>
        <w:rPr>
          <w:rFonts w:hint="eastAsia"/>
          <w:sz w:val="24"/>
        </w:rPr>
      </w:pPr>
    </w:p>
    <w:p w14:paraId="783E2103">
      <w:pPr>
        <w:widowControl/>
        <w:adjustRightInd w:val="0"/>
        <w:snapToGrid w:val="0"/>
        <w:spacing w:line="520" w:lineRule="exact"/>
        <w:ind w:firstLine="480" w:firstLineChars="200"/>
        <w:rPr>
          <w:rFonts w:hint="eastAsia"/>
          <w:sz w:val="24"/>
        </w:rPr>
      </w:pPr>
    </w:p>
    <w:p w14:paraId="3A6E95D8">
      <w:pPr>
        <w:widowControl/>
        <w:adjustRightInd w:val="0"/>
        <w:snapToGrid w:val="0"/>
        <w:spacing w:line="520" w:lineRule="exact"/>
        <w:ind w:firstLine="480" w:firstLineChars="200"/>
        <w:rPr>
          <w:rFonts w:hint="eastAsia"/>
          <w:sz w:val="24"/>
        </w:rPr>
      </w:pPr>
    </w:p>
    <w:p w14:paraId="5DCC1100">
      <w:pPr>
        <w:widowControl/>
        <w:adjustRightInd w:val="0"/>
        <w:snapToGrid w:val="0"/>
        <w:spacing w:line="520" w:lineRule="exact"/>
        <w:ind w:firstLine="480" w:firstLineChars="200"/>
        <w:rPr>
          <w:rFonts w:hint="eastAsia"/>
          <w:sz w:val="24"/>
        </w:rPr>
      </w:pPr>
    </w:p>
    <w:p w14:paraId="5385A96E">
      <w:pPr>
        <w:widowControl/>
        <w:adjustRightInd w:val="0"/>
        <w:snapToGrid w:val="0"/>
        <w:spacing w:line="520" w:lineRule="exact"/>
        <w:ind w:firstLine="480" w:firstLineChars="200"/>
        <w:rPr>
          <w:rFonts w:hint="eastAsia"/>
          <w:sz w:val="24"/>
        </w:rPr>
      </w:pPr>
    </w:p>
    <w:p w14:paraId="4E078174">
      <w:pPr>
        <w:widowControl/>
        <w:jc w:val="left"/>
        <w:rPr>
          <w:rFonts w:hint="eastAsia" w:ascii="方正仿宋_GBK" w:hAnsi="方正仿宋_GBK" w:eastAsia="方正仿宋_GBK" w:cs="方正仿宋_GBK"/>
          <w:kern w:val="0"/>
          <w:szCs w:val="21"/>
        </w:rPr>
      </w:pPr>
    </w:p>
    <w:p w14:paraId="73AFC796">
      <w:pPr>
        <w:widowControl/>
        <w:jc w:val="left"/>
        <w:rPr>
          <w:rFonts w:hint="eastAsia" w:ascii="宋体" w:hAnsi="宋体" w:cs="宋体"/>
          <w:b/>
          <w:bCs/>
          <w:kern w:val="0"/>
          <w:sz w:val="24"/>
        </w:rPr>
      </w:pPr>
    </w:p>
    <w:p w14:paraId="2077F0E3">
      <w:pPr>
        <w:widowControl/>
        <w:jc w:val="left"/>
        <w:rPr>
          <w:rFonts w:hint="eastAsia" w:ascii="宋体" w:hAnsi="宋体" w:cs="宋体"/>
          <w:b/>
          <w:bCs/>
          <w:kern w:val="0"/>
          <w:sz w:val="24"/>
        </w:rPr>
      </w:pPr>
    </w:p>
    <w:p w14:paraId="7134D776">
      <w:pPr>
        <w:widowControl/>
        <w:jc w:val="left"/>
        <w:rPr>
          <w:rFonts w:hint="eastAsia" w:ascii="宋体" w:hAnsi="宋体" w:cs="宋体"/>
          <w:b/>
          <w:bCs/>
          <w:kern w:val="0"/>
          <w:sz w:val="24"/>
        </w:rPr>
      </w:pPr>
    </w:p>
    <w:p w14:paraId="764FEFAE">
      <w:pPr>
        <w:widowControl/>
        <w:jc w:val="left"/>
        <w:rPr>
          <w:rFonts w:hint="eastAsia" w:ascii="宋体" w:hAnsi="宋体" w:cs="宋体"/>
          <w:b/>
          <w:bCs/>
          <w:kern w:val="0"/>
          <w:sz w:val="24"/>
        </w:rPr>
      </w:pPr>
    </w:p>
    <w:p w14:paraId="685648C1">
      <w:pPr>
        <w:keepNext w:val="0"/>
        <w:keepLines w:val="0"/>
        <w:pageBreakBefore w:val="0"/>
        <w:widowControl w:val="0"/>
        <w:kinsoku/>
        <w:wordWrap/>
        <w:overflowPunct/>
        <w:topLinePunct w:val="0"/>
        <w:autoSpaceDE w:val="0"/>
        <w:autoSpaceDN w:val="0"/>
        <w:bidi w:val="0"/>
        <w:adjustRightInd/>
        <w:snapToGrid/>
        <w:spacing w:line="360" w:lineRule="auto"/>
        <w:textAlignment w:val="auto"/>
        <w:outlineLvl w:val="1"/>
        <w:rPr>
          <w:rFonts w:hint="default" w:ascii="宋体" w:hAnsi="宋体" w:eastAsia="宋体" w:cs="宋体"/>
          <w:sz w:val="21"/>
          <w:szCs w:val="21"/>
          <w:lang w:val="en-US" w:eastAsia="zh-CN"/>
        </w:rPr>
      </w:pPr>
      <w:r>
        <w:rPr>
          <w:rFonts w:hint="eastAsia" w:ascii="宋体" w:hAnsi="宋体" w:eastAsia="宋体" w:cs="宋体"/>
          <w:sz w:val="21"/>
          <w:szCs w:val="21"/>
        </w:rPr>
        <w:br w:type="page"/>
      </w:r>
      <w:r>
        <w:rPr>
          <w:rFonts w:hint="eastAsia" w:cs="宋体"/>
          <w:b/>
          <w:bCs/>
          <w:color w:val="auto"/>
          <w:sz w:val="28"/>
          <w:szCs w:val="28"/>
          <w:lang w:val="en-US" w:eastAsia="zh-CN"/>
        </w:rPr>
        <w:t>附件1：应急组织机构名单</w:t>
      </w:r>
    </w:p>
    <w:p w14:paraId="47CC7279">
      <w:pPr>
        <w:pStyle w:val="4"/>
        <w:spacing w:before="156" w:beforeLines="50" w:after="156" w:afterLines="50"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应急队伍名单</w:t>
      </w:r>
      <w:bookmarkStart w:id="178" w:name="_GoBack"/>
      <w:bookmarkEnd w:id="178"/>
    </w:p>
    <w:tbl>
      <w:tblPr>
        <w:tblStyle w:val="17"/>
        <w:tblW w:w="85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7"/>
        <w:gridCol w:w="1250"/>
        <w:gridCol w:w="927"/>
        <w:gridCol w:w="3144"/>
        <w:gridCol w:w="1636"/>
      </w:tblGrid>
      <w:tr w14:paraId="7CB8F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47" w:type="dxa"/>
            <w:tcBorders>
              <w:tl2br w:val="nil"/>
              <w:tr2bl w:val="nil"/>
            </w:tcBorders>
            <w:noWrap w:val="0"/>
            <w:vAlign w:val="center"/>
          </w:tcPr>
          <w:p w14:paraId="419D8A7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rPr>
              <w:t>应急</w:t>
            </w:r>
            <w:r>
              <w:rPr>
                <w:rFonts w:hint="eastAsia" w:ascii="宋体" w:hAnsi="宋体" w:eastAsia="宋体" w:cs="宋体"/>
                <w:b w:val="0"/>
                <w:bCs w:val="0"/>
                <w:color w:val="auto"/>
                <w:sz w:val="21"/>
                <w:szCs w:val="21"/>
                <w:lang w:eastAsia="zh-CN"/>
              </w:rPr>
              <w:t>组织机构</w:t>
            </w:r>
          </w:p>
        </w:tc>
        <w:tc>
          <w:tcPr>
            <w:tcW w:w="1250" w:type="dxa"/>
            <w:tcBorders>
              <w:tl2br w:val="nil"/>
              <w:tr2bl w:val="nil"/>
            </w:tcBorders>
            <w:noWrap w:val="0"/>
            <w:vAlign w:val="center"/>
          </w:tcPr>
          <w:p w14:paraId="398E40CF">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vertAlign w:val="baseline"/>
                <w:lang w:eastAsia="zh-CN"/>
              </w:rPr>
              <w:t>应急职务</w:t>
            </w:r>
          </w:p>
        </w:tc>
        <w:tc>
          <w:tcPr>
            <w:tcW w:w="927" w:type="dxa"/>
            <w:tcBorders>
              <w:tl2br w:val="nil"/>
              <w:tr2bl w:val="nil"/>
            </w:tcBorders>
            <w:noWrap w:val="0"/>
            <w:vAlign w:val="center"/>
          </w:tcPr>
          <w:p w14:paraId="7907F5E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vertAlign w:val="baseline"/>
                <w:lang w:eastAsia="zh-CN"/>
              </w:rPr>
              <w:t>姓名</w:t>
            </w:r>
          </w:p>
        </w:tc>
        <w:tc>
          <w:tcPr>
            <w:tcW w:w="3144" w:type="dxa"/>
            <w:tcBorders>
              <w:tl2br w:val="nil"/>
              <w:tr2bl w:val="nil"/>
            </w:tcBorders>
            <w:noWrap w:val="0"/>
            <w:vAlign w:val="center"/>
          </w:tcPr>
          <w:p w14:paraId="19F49E34">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vertAlign w:val="baseline"/>
                <w:lang w:eastAsia="zh-CN"/>
              </w:rPr>
              <w:t>部门（职务）</w:t>
            </w:r>
          </w:p>
        </w:tc>
        <w:tc>
          <w:tcPr>
            <w:tcW w:w="1636" w:type="dxa"/>
            <w:tcBorders>
              <w:tl2br w:val="nil"/>
              <w:tr2bl w:val="nil"/>
            </w:tcBorders>
            <w:noWrap w:val="0"/>
            <w:vAlign w:val="center"/>
          </w:tcPr>
          <w:p w14:paraId="46490826">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vertAlign w:val="baseline"/>
                <w:lang w:eastAsia="zh-CN"/>
              </w:rPr>
              <w:t>联系电话</w:t>
            </w:r>
          </w:p>
        </w:tc>
      </w:tr>
      <w:tr w14:paraId="28E8A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47" w:type="dxa"/>
            <w:vMerge w:val="restart"/>
            <w:tcBorders>
              <w:tl2br w:val="nil"/>
              <w:tr2bl w:val="nil"/>
            </w:tcBorders>
            <w:noWrap w:val="0"/>
            <w:vAlign w:val="center"/>
          </w:tcPr>
          <w:p w14:paraId="7783A10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eastAsia="zh-CN"/>
              </w:rPr>
            </w:pPr>
            <w:r>
              <w:rPr>
                <w:rFonts w:hint="eastAsia" w:ascii="宋体" w:hAnsi="宋体" w:eastAsia="宋体" w:cs="宋体"/>
                <w:b w:val="0"/>
                <w:bCs w:val="0"/>
                <w:color w:val="auto"/>
                <w:sz w:val="21"/>
                <w:szCs w:val="21"/>
                <w:vertAlign w:val="baseline"/>
                <w:lang w:eastAsia="zh-CN"/>
              </w:rPr>
              <w:t>应急领导小组</w:t>
            </w:r>
          </w:p>
        </w:tc>
        <w:tc>
          <w:tcPr>
            <w:tcW w:w="1250" w:type="dxa"/>
            <w:tcBorders>
              <w:tl2br w:val="nil"/>
              <w:tr2bl w:val="nil"/>
            </w:tcBorders>
            <w:noWrap w:val="0"/>
            <w:vAlign w:val="center"/>
          </w:tcPr>
          <w:p w14:paraId="1B0767A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eastAsia="zh-CN"/>
              </w:rPr>
            </w:pPr>
            <w:r>
              <w:rPr>
                <w:rFonts w:hint="eastAsia" w:ascii="宋体" w:hAnsi="宋体" w:eastAsia="宋体" w:cs="宋体"/>
                <w:b w:val="0"/>
                <w:bCs w:val="0"/>
                <w:color w:val="auto"/>
                <w:sz w:val="21"/>
                <w:szCs w:val="21"/>
                <w:vertAlign w:val="baseline"/>
                <w:lang w:eastAsia="zh-CN"/>
              </w:rPr>
              <w:t>组长</w:t>
            </w:r>
          </w:p>
        </w:tc>
        <w:tc>
          <w:tcPr>
            <w:tcW w:w="927" w:type="dxa"/>
            <w:tcBorders>
              <w:tl2br w:val="nil"/>
              <w:tr2bl w:val="nil"/>
            </w:tcBorders>
            <w:noWrap w:val="0"/>
            <w:vAlign w:val="center"/>
          </w:tcPr>
          <w:p w14:paraId="2CE198F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sz w:val="21"/>
                <w:szCs w:val="21"/>
                <w:highlight w:val="none"/>
                <w:lang w:val="en-US" w:eastAsia="zh-CN"/>
              </w:rPr>
              <w:t>朱小勇</w:t>
            </w:r>
          </w:p>
        </w:tc>
        <w:tc>
          <w:tcPr>
            <w:tcW w:w="3144" w:type="dxa"/>
            <w:tcBorders>
              <w:tl2br w:val="nil"/>
              <w:tr2bl w:val="nil"/>
            </w:tcBorders>
            <w:noWrap w:val="0"/>
            <w:vAlign w:val="center"/>
          </w:tcPr>
          <w:p w14:paraId="74BCD04E">
            <w:pPr>
              <w:spacing w:line="300" w:lineRule="atLeast"/>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五通乡党委书记</w:t>
            </w:r>
          </w:p>
        </w:tc>
        <w:tc>
          <w:tcPr>
            <w:tcW w:w="1636" w:type="dxa"/>
            <w:tcBorders>
              <w:tl2br w:val="nil"/>
              <w:tr2bl w:val="nil"/>
            </w:tcBorders>
            <w:noWrap w:val="0"/>
            <w:vAlign w:val="center"/>
          </w:tcPr>
          <w:p w14:paraId="525DD9F7">
            <w:pPr>
              <w:spacing w:line="300" w:lineRule="atLeast"/>
              <w:jc w:val="center"/>
              <w:rPr>
                <w:rFonts w:hint="default"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18002356633</w:t>
            </w:r>
          </w:p>
        </w:tc>
      </w:tr>
      <w:tr w14:paraId="19912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47" w:type="dxa"/>
            <w:vMerge w:val="continue"/>
            <w:tcBorders>
              <w:tl2br w:val="nil"/>
              <w:tr2bl w:val="nil"/>
            </w:tcBorders>
            <w:noWrap w:val="0"/>
            <w:vAlign w:val="center"/>
          </w:tcPr>
          <w:p w14:paraId="3AA30C4F">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eastAsia="zh-CN"/>
              </w:rPr>
            </w:pPr>
          </w:p>
        </w:tc>
        <w:tc>
          <w:tcPr>
            <w:tcW w:w="1250" w:type="dxa"/>
            <w:tcBorders>
              <w:tl2br w:val="nil"/>
              <w:tr2bl w:val="nil"/>
            </w:tcBorders>
            <w:noWrap w:val="0"/>
            <w:vAlign w:val="center"/>
          </w:tcPr>
          <w:p w14:paraId="67D9B7E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eastAsia="zh-CN"/>
              </w:rPr>
            </w:pPr>
            <w:r>
              <w:rPr>
                <w:rFonts w:hint="eastAsia" w:ascii="宋体" w:hAnsi="宋体" w:eastAsia="宋体" w:cs="宋体"/>
                <w:b w:val="0"/>
                <w:bCs w:val="0"/>
                <w:color w:val="auto"/>
                <w:sz w:val="21"/>
                <w:szCs w:val="21"/>
                <w:vertAlign w:val="baseline"/>
                <w:lang w:eastAsia="zh-CN"/>
              </w:rPr>
              <w:t>副组长</w:t>
            </w:r>
          </w:p>
        </w:tc>
        <w:tc>
          <w:tcPr>
            <w:tcW w:w="927" w:type="dxa"/>
            <w:tcBorders>
              <w:tl2br w:val="nil"/>
              <w:tr2bl w:val="nil"/>
            </w:tcBorders>
            <w:shd w:val="clear" w:color="auto" w:fill="auto"/>
            <w:noWrap w:val="0"/>
            <w:vAlign w:val="center"/>
          </w:tcPr>
          <w:p w14:paraId="63BBD46B">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vertAlign w:val="baseline"/>
                <w:lang w:val="en-US" w:eastAsia="zh-CN"/>
              </w:rPr>
              <w:t>邹学斌</w:t>
            </w:r>
          </w:p>
        </w:tc>
        <w:tc>
          <w:tcPr>
            <w:tcW w:w="3144" w:type="dxa"/>
            <w:tcBorders>
              <w:tl2br w:val="nil"/>
              <w:tr2bl w:val="nil"/>
            </w:tcBorders>
            <w:shd w:val="clear" w:color="auto" w:fill="auto"/>
            <w:noWrap w:val="0"/>
            <w:vAlign w:val="center"/>
          </w:tcPr>
          <w:p w14:paraId="2DF8DD1E">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vertAlign w:val="baseline"/>
                <w:lang w:val="en-US" w:eastAsia="zh-CN"/>
              </w:rPr>
              <w:t>五通乡党委副书记、乡长</w:t>
            </w:r>
          </w:p>
        </w:tc>
        <w:tc>
          <w:tcPr>
            <w:tcW w:w="1636" w:type="dxa"/>
            <w:tcBorders>
              <w:tl2br w:val="nil"/>
              <w:tr2bl w:val="nil"/>
            </w:tcBorders>
            <w:shd w:val="clear" w:color="auto" w:fill="auto"/>
            <w:noWrap w:val="0"/>
            <w:vAlign w:val="center"/>
          </w:tcPr>
          <w:p w14:paraId="5FE4D5AB">
            <w:pPr>
              <w:keepNext w:val="0"/>
              <w:keepLines w:val="0"/>
              <w:suppressLineNumbers w:val="0"/>
              <w:spacing w:before="0" w:beforeAutospacing="0" w:after="0" w:afterAutospacing="0"/>
              <w:ind w:left="0" w:leftChars="0" w:right="0" w:rightChars="0"/>
              <w:jc w:val="center"/>
              <w:rPr>
                <w:rFonts w:hint="default"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vertAlign w:val="baseline"/>
                <w:lang w:val="en-US" w:eastAsia="zh-CN"/>
              </w:rPr>
              <w:t>13436233676</w:t>
            </w:r>
          </w:p>
        </w:tc>
      </w:tr>
      <w:tr w14:paraId="7D8A3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47" w:type="dxa"/>
            <w:vMerge w:val="continue"/>
            <w:noWrap w:val="0"/>
            <w:vAlign w:val="center"/>
          </w:tcPr>
          <w:p w14:paraId="0C64906F">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eastAsia="zh-CN"/>
              </w:rPr>
            </w:pPr>
          </w:p>
        </w:tc>
        <w:tc>
          <w:tcPr>
            <w:tcW w:w="1250" w:type="dxa"/>
            <w:vMerge w:val="restart"/>
            <w:noWrap w:val="0"/>
            <w:vAlign w:val="center"/>
          </w:tcPr>
          <w:p w14:paraId="7F00EDA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eastAsia="zh-CN"/>
              </w:rPr>
            </w:pPr>
            <w:r>
              <w:rPr>
                <w:rFonts w:hint="eastAsia" w:ascii="宋体" w:hAnsi="宋体" w:eastAsia="宋体" w:cs="宋体"/>
                <w:b w:val="0"/>
                <w:bCs w:val="0"/>
                <w:color w:val="auto"/>
                <w:sz w:val="21"/>
                <w:szCs w:val="21"/>
                <w:vertAlign w:val="baseline"/>
                <w:lang w:eastAsia="zh-CN"/>
              </w:rPr>
              <w:t>成员</w:t>
            </w:r>
          </w:p>
        </w:tc>
        <w:tc>
          <w:tcPr>
            <w:tcW w:w="927" w:type="dxa"/>
            <w:shd w:val="clear" w:color="auto" w:fill="auto"/>
            <w:noWrap w:val="0"/>
            <w:vAlign w:val="center"/>
          </w:tcPr>
          <w:p w14:paraId="1B5E65EA">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vertAlign w:val="baseline"/>
                <w:lang w:val="en-US" w:eastAsia="zh-CN"/>
              </w:rPr>
              <w:t>韩以伟</w:t>
            </w:r>
          </w:p>
        </w:tc>
        <w:tc>
          <w:tcPr>
            <w:tcW w:w="3144" w:type="dxa"/>
            <w:shd w:val="clear" w:color="auto" w:fill="auto"/>
            <w:noWrap w:val="0"/>
            <w:vAlign w:val="center"/>
          </w:tcPr>
          <w:p w14:paraId="409978F0">
            <w:pPr>
              <w:keepNext w:val="0"/>
              <w:keepLines w:val="0"/>
              <w:suppressLineNumbers w:val="0"/>
              <w:spacing w:before="0" w:beforeAutospacing="0" w:after="0" w:afterAutospacing="0"/>
              <w:ind w:left="0" w:leftChars="0" w:right="0" w:rightChars="0"/>
              <w:jc w:val="center"/>
              <w:rPr>
                <w:rFonts w:hint="default"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vertAlign w:val="baseline"/>
                <w:lang w:val="en-US" w:eastAsia="zh-CN"/>
              </w:rPr>
              <w:t>五通乡党委副书记、政法委员</w:t>
            </w:r>
          </w:p>
        </w:tc>
        <w:tc>
          <w:tcPr>
            <w:tcW w:w="1636" w:type="dxa"/>
            <w:shd w:val="clear" w:color="auto" w:fill="auto"/>
            <w:noWrap w:val="0"/>
            <w:vAlign w:val="center"/>
          </w:tcPr>
          <w:p w14:paraId="2E1CACCB">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vertAlign w:val="baseline"/>
                <w:lang w:val="en-US" w:eastAsia="zh-CN"/>
              </w:rPr>
              <w:t>13936567198</w:t>
            </w:r>
          </w:p>
        </w:tc>
      </w:tr>
      <w:tr w14:paraId="51156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exact"/>
        </w:trPr>
        <w:tc>
          <w:tcPr>
            <w:tcW w:w="1547" w:type="dxa"/>
            <w:vMerge w:val="continue"/>
            <w:noWrap w:val="0"/>
            <w:vAlign w:val="center"/>
          </w:tcPr>
          <w:p w14:paraId="404C31C4">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eastAsia="zh-CN"/>
              </w:rPr>
            </w:pPr>
          </w:p>
        </w:tc>
        <w:tc>
          <w:tcPr>
            <w:tcW w:w="1250" w:type="dxa"/>
            <w:vMerge w:val="continue"/>
            <w:noWrap w:val="0"/>
            <w:vAlign w:val="center"/>
          </w:tcPr>
          <w:p w14:paraId="111244B4">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eastAsia="zh-CN"/>
              </w:rPr>
            </w:pPr>
          </w:p>
        </w:tc>
        <w:tc>
          <w:tcPr>
            <w:tcW w:w="927" w:type="dxa"/>
            <w:shd w:val="clear" w:color="auto" w:fill="auto"/>
            <w:noWrap w:val="0"/>
            <w:vAlign w:val="center"/>
          </w:tcPr>
          <w:p w14:paraId="7CA8E1A4">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vertAlign w:val="baseline"/>
                <w:lang w:val="en-US" w:eastAsia="zh-CN"/>
              </w:rPr>
              <w:t>袁华兰</w:t>
            </w:r>
          </w:p>
        </w:tc>
        <w:tc>
          <w:tcPr>
            <w:tcW w:w="3144" w:type="dxa"/>
            <w:shd w:val="clear" w:color="auto" w:fill="auto"/>
            <w:noWrap w:val="0"/>
            <w:vAlign w:val="center"/>
          </w:tcPr>
          <w:p w14:paraId="1D3128EF">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vertAlign w:val="baseline"/>
                <w:lang w:val="en-US" w:eastAsia="zh-CN"/>
              </w:rPr>
              <w:t>五通乡党委委员、副乡长</w:t>
            </w:r>
          </w:p>
        </w:tc>
        <w:tc>
          <w:tcPr>
            <w:tcW w:w="1636" w:type="dxa"/>
            <w:shd w:val="clear" w:color="auto" w:fill="auto"/>
            <w:noWrap w:val="0"/>
            <w:vAlign w:val="center"/>
          </w:tcPr>
          <w:p w14:paraId="2866F01E">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vertAlign w:val="baseline"/>
                <w:lang w:val="en-US" w:eastAsia="zh-CN"/>
              </w:rPr>
              <w:t>13594880651</w:t>
            </w:r>
          </w:p>
        </w:tc>
      </w:tr>
      <w:tr w14:paraId="45A9E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exact"/>
        </w:trPr>
        <w:tc>
          <w:tcPr>
            <w:tcW w:w="1547" w:type="dxa"/>
            <w:vMerge w:val="continue"/>
            <w:noWrap w:val="0"/>
            <w:vAlign w:val="center"/>
          </w:tcPr>
          <w:p w14:paraId="56F675B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eastAsia="zh-CN"/>
              </w:rPr>
            </w:pPr>
          </w:p>
        </w:tc>
        <w:tc>
          <w:tcPr>
            <w:tcW w:w="1250" w:type="dxa"/>
            <w:vMerge w:val="continue"/>
            <w:noWrap w:val="0"/>
            <w:vAlign w:val="center"/>
          </w:tcPr>
          <w:p w14:paraId="0179646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eastAsia="zh-CN"/>
              </w:rPr>
            </w:pPr>
          </w:p>
        </w:tc>
        <w:tc>
          <w:tcPr>
            <w:tcW w:w="927" w:type="dxa"/>
            <w:shd w:val="clear" w:color="auto" w:fill="auto"/>
            <w:noWrap w:val="0"/>
            <w:vAlign w:val="center"/>
          </w:tcPr>
          <w:p w14:paraId="1843F3A5">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vertAlign w:val="baseline"/>
                <w:lang w:val="en-US" w:eastAsia="zh-CN"/>
              </w:rPr>
              <w:t>任东</w:t>
            </w:r>
          </w:p>
        </w:tc>
        <w:tc>
          <w:tcPr>
            <w:tcW w:w="3144" w:type="dxa"/>
            <w:shd w:val="clear" w:color="auto" w:fill="auto"/>
            <w:noWrap w:val="0"/>
            <w:vAlign w:val="center"/>
          </w:tcPr>
          <w:p w14:paraId="030F4B6A">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vertAlign w:val="baseline"/>
                <w:lang w:val="en-US" w:eastAsia="zh-CN"/>
              </w:rPr>
              <w:t>五通乡党委委员、副乡长、武装部长</w:t>
            </w:r>
          </w:p>
        </w:tc>
        <w:tc>
          <w:tcPr>
            <w:tcW w:w="1636" w:type="dxa"/>
            <w:shd w:val="clear" w:color="auto" w:fill="auto"/>
            <w:noWrap w:val="0"/>
            <w:vAlign w:val="center"/>
          </w:tcPr>
          <w:p w14:paraId="5D56E7A1">
            <w:pPr>
              <w:keepNext w:val="0"/>
              <w:keepLines w:val="0"/>
              <w:suppressLineNumbers w:val="0"/>
              <w:spacing w:before="0" w:beforeAutospacing="0" w:after="0" w:afterAutospacing="0"/>
              <w:ind w:left="0" w:leftChars="0" w:right="0" w:rightChars="0"/>
              <w:jc w:val="center"/>
              <w:rPr>
                <w:rFonts w:hint="default"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vertAlign w:val="baseline"/>
                <w:lang w:val="en-US" w:eastAsia="zh-CN"/>
              </w:rPr>
              <w:t>13436226596</w:t>
            </w:r>
          </w:p>
        </w:tc>
      </w:tr>
      <w:tr w14:paraId="6F2CF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47" w:type="dxa"/>
            <w:vMerge w:val="continue"/>
            <w:noWrap w:val="0"/>
            <w:vAlign w:val="center"/>
          </w:tcPr>
          <w:p w14:paraId="599FA8F4">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eastAsia="zh-CN"/>
              </w:rPr>
            </w:pPr>
          </w:p>
        </w:tc>
        <w:tc>
          <w:tcPr>
            <w:tcW w:w="1250" w:type="dxa"/>
            <w:vMerge w:val="continue"/>
            <w:noWrap w:val="0"/>
            <w:vAlign w:val="center"/>
          </w:tcPr>
          <w:p w14:paraId="63DB5934">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eastAsia="zh-CN"/>
              </w:rPr>
            </w:pPr>
          </w:p>
        </w:tc>
        <w:tc>
          <w:tcPr>
            <w:tcW w:w="927" w:type="dxa"/>
            <w:shd w:val="clear" w:color="auto" w:fill="auto"/>
            <w:noWrap w:val="0"/>
            <w:vAlign w:val="center"/>
          </w:tcPr>
          <w:p w14:paraId="0C6A7884">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vertAlign w:val="baseline"/>
                <w:lang w:val="en-US" w:eastAsia="zh-CN"/>
              </w:rPr>
              <w:t>徐良</w:t>
            </w:r>
          </w:p>
        </w:tc>
        <w:tc>
          <w:tcPr>
            <w:tcW w:w="3144" w:type="dxa"/>
            <w:shd w:val="clear" w:color="auto" w:fill="auto"/>
            <w:noWrap w:val="0"/>
            <w:vAlign w:val="center"/>
          </w:tcPr>
          <w:p w14:paraId="23B0924F">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vertAlign w:val="baseline"/>
                <w:lang w:val="en-US" w:eastAsia="zh-CN"/>
              </w:rPr>
              <w:t>五通乡党委宣传委员、统战委员</w:t>
            </w:r>
          </w:p>
        </w:tc>
        <w:tc>
          <w:tcPr>
            <w:tcW w:w="1636" w:type="dxa"/>
            <w:shd w:val="clear" w:color="auto" w:fill="auto"/>
            <w:noWrap w:val="0"/>
            <w:vAlign w:val="center"/>
          </w:tcPr>
          <w:p w14:paraId="2A205C16">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vertAlign w:val="baseline"/>
                <w:lang w:val="en-US" w:eastAsia="zh-CN"/>
              </w:rPr>
              <w:t>13668429160</w:t>
            </w:r>
          </w:p>
        </w:tc>
      </w:tr>
      <w:tr w14:paraId="582D6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47" w:type="dxa"/>
            <w:vMerge w:val="continue"/>
            <w:noWrap w:val="0"/>
            <w:vAlign w:val="center"/>
          </w:tcPr>
          <w:p w14:paraId="5CEA6BA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eastAsia="zh-CN"/>
              </w:rPr>
            </w:pPr>
          </w:p>
        </w:tc>
        <w:tc>
          <w:tcPr>
            <w:tcW w:w="1250" w:type="dxa"/>
            <w:vMerge w:val="continue"/>
            <w:noWrap w:val="0"/>
            <w:vAlign w:val="center"/>
          </w:tcPr>
          <w:p w14:paraId="3C95B3F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eastAsia="zh-CN"/>
              </w:rPr>
            </w:pPr>
          </w:p>
        </w:tc>
        <w:tc>
          <w:tcPr>
            <w:tcW w:w="927" w:type="dxa"/>
            <w:shd w:val="clear" w:color="auto" w:fill="auto"/>
            <w:noWrap w:val="0"/>
            <w:vAlign w:val="center"/>
          </w:tcPr>
          <w:p w14:paraId="53B8F64E">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vertAlign w:val="baseline"/>
                <w:lang w:val="en-US" w:eastAsia="zh-CN"/>
              </w:rPr>
              <w:t>李进</w:t>
            </w:r>
          </w:p>
        </w:tc>
        <w:tc>
          <w:tcPr>
            <w:tcW w:w="3144" w:type="dxa"/>
            <w:shd w:val="clear" w:color="auto" w:fill="auto"/>
            <w:noWrap w:val="0"/>
            <w:vAlign w:val="center"/>
          </w:tcPr>
          <w:p w14:paraId="728C5844">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vertAlign w:val="baseline"/>
                <w:lang w:val="en-US" w:eastAsia="zh-CN"/>
              </w:rPr>
              <w:t>五通乡党委委员、纪委书记</w:t>
            </w:r>
          </w:p>
        </w:tc>
        <w:tc>
          <w:tcPr>
            <w:tcW w:w="1636" w:type="dxa"/>
            <w:shd w:val="clear" w:color="auto" w:fill="auto"/>
            <w:noWrap w:val="0"/>
            <w:vAlign w:val="center"/>
          </w:tcPr>
          <w:p w14:paraId="5CA00BB9">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vertAlign w:val="baseline"/>
                <w:lang w:val="en-US" w:eastAsia="zh-CN"/>
              </w:rPr>
              <w:t>15223630836</w:t>
            </w:r>
          </w:p>
        </w:tc>
      </w:tr>
      <w:tr w14:paraId="7B281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47" w:type="dxa"/>
            <w:vMerge w:val="continue"/>
            <w:noWrap w:val="0"/>
            <w:vAlign w:val="center"/>
          </w:tcPr>
          <w:p w14:paraId="2CE4C8F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eastAsia="zh-CN"/>
              </w:rPr>
            </w:pPr>
          </w:p>
        </w:tc>
        <w:tc>
          <w:tcPr>
            <w:tcW w:w="1250" w:type="dxa"/>
            <w:vMerge w:val="continue"/>
            <w:noWrap w:val="0"/>
            <w:vAlign w:val="center"/>
          </w:tcPr>
          <w:p w14:paraId="4BCEC119">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eastAsia="zh-CN"/>
              </w:rPr>
            </w:pPr>
          </w:p>
        </w:tc>
        <w:tc>
          <w:tcPr>
            <w:tcW w:w="927" w:type="dxa"/>
            <w:shd w:val="clear" w:color="auto" w:fill="auto"/>
            <w:noWrap w:val="0"/>
            <w:vAlign w:val="center"/>
          </w:tcPr>
          <w:p w14:paraId="7698EC01">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vertAlign w:val="baseline"/>
                <w:lang w:val="en-US" w:eastAsia="zh-CN"/>
              </w:rPr>
              <w:t>田晏铭</w:t>
            </w:r>
          </w:p>
        </w:tc>
        <w:tc>
          <w:tcPr>
            <w:tcW w:w="3144" w:type="dxa"/>
            <w:shd w:val="clear" w:color="auto" w:fill="auto"/>
            <w:noWrap w:val="0"/>
            <w:vAlign w:val="center"/>
          </w:tcPr>
          <w:p w14:paraId="69C7FAEB">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vertAlign w:val="baseline"/>
                <w:lang w:val="en-US" w:eastAsia="zh-CN"/>
              </w:rPr>
              <w:t>五通乡党委组织委员</w:t>
            </w:r>
          </w:p>
        </w:tc>
        <w:tc>
          <w:tcPr>
            <w:tcW w:w="1636" w:type="dxa"/>
            <w:shd w:val="clear" w:color="auto" w:fill="auto"/>
            <w:noWrap w:val="0"/>
            <w:vAlign w:val="center"/>
          </w:tcPr>
          <w:p w14:paraId="4954A303">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vertAlign w:val="baseline"/>
                <w:lang w:val="en-US" w:eastAsia="zh-CN"/>
              </w:rPr>
              <w:t>15213504321</w:t>
            </w:r>
          </w:p>
        </w:tc>
      </w:tr>
      <w:tr w14:paraId="32077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47" w:type="dxa"/>
            <w:vMerge w:val="continue"/>
            <w:noWrap w:val="0"/>
            <w:vAlign w:val="center"/>
          </w:tcPr>
          <w:p w14:paraId="286BB856">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p>
        </w:tc>
        <w:tc>
          <w:tcPr>
            <w:tcW w:w="1250" w:type="dxa"/>
            <w:vMerge w:val="continue"/>
            <w:noWrap w:val="0"/>
            <w:vAlign w:val="center"/>
          </w:tcPr>
          <w:p w14:paraId="3C5E4046">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p>
        </w:tc>
        <w:tc>
          <w:tcPr>
            <w:tcW w:w="927" w:type="dxa"/>
            <w:shd w:val="clear" w:color="auto" w:fill="auto"/>
            <w:noWrap w:val="0"/>
            <w:vAlign w:val="center"/>
          </w:tcPr>
          <w:p w14:paraId="47A68123">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张天学</w:t>
            </w:r>
          </w:p>
        </w:tc>
        <w:tc>
          <w:tcPr>
            <w:tcW w:w="3144" w:type="dxa"/>
            <w:shd w:val="clear" w:color="auto" w:fill="auto"/>
            <w:noWrap w:val="0"/>
            <w:vAlign w:val="center"/>
          </w:tcPr>
          <w:p w14:paraId="2D478CE6">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五通乡田冲村支部书记</w:t>
            </w:r>
          </w:p>
        </w:tc>
        <w:tc>
          <w:tcPr>
            <w:tcW w:w="1636" w:type="dxa"/>
            <w:shd w:val="clear" w:color="auto" w:fill="auto"/>
            <w:noWrap w:val="0"/>
            <w:vAlign w:val="center"/>
          </w:tcPr>
          <w:p w14:paraId="3D229862">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17783364218</w:t>
            </w:r>
          </w:p>
        </w:tc>
      </w:tr>
      <w:tr w14:paraId="02FDA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47" w:type="dxa"/>
            <w:vMerge w:val="restart"/>
            <w:noWrap w:val="0"/>
            <w:vAlign w:val="center"/>
          </w:tcPr>
          <w:p w14:paraId="5BDDB651">
            <w:pPr>
              <w:keepNext w:val="0"/>
              <w:keepLines w:val="0"/>
              <w:suppressLineNumbers w:val="0"/>
              <w:spacing w:before="0" w:beforeAutospacing="0" w:after="0" w:afterAutospacing="0"/>
              <w:ind w:left="0" w:right="0"/>
              <w:jc w:val="center"/>
              <w:rPr>
                <w:rFonts w:hint="default"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现场处置组</w:t>
            </w:r>
          </w:p>
        </w:tc>
        <w:tc>
          <w:tcPr>
            <w:tcW w:w="1250" w:type="dxa"/>
            <w:noWrap w:val="0"/>
            <w:vAlign w:val="center"/>
          </w:tcPr>
          <w:p w14:paraId="23832F49">
            <w:pPr>
              <w:keepNext w:val="0"/>
              <w:keepLines w:val="0"/>
              <w:suppressLineNumbers w:val="0"/>
              <w:spacing w:before="0" w:beforeAutospacing="0" w:after="0" w:afterAutospacing="0"/>
              <w:ind w:left="0" w:right="0"/>
              <w:jc w:val="center"/>
              <w:rPr>
                <w:rFonts w:hint="default"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组长</w:t>
            </w:r>
          </w:p>
        </w:tc>
        <w:tc>
          <w:tcPr>
            <w:tcW w:w="927" w:type="dxa"/>
            <w:noWrap w:val="0"/>
            <w:vAlign w:val="center"/>
          </w:tcPr>
          <w:p w14:paraId="3D910132">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彭江术</w:t>
            </w:r>
          </w:p>
        </w:tc>
        <w:tc>
          <w:tcPr>
            <w:tcW w:w="3144" w:type="dxa"/>
            <w:noWrap w:val="0"/>
            <w:vAlign w:val="center"/>
          </w:tcPr>
          <w:p w14:paraId="3F283E21">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产业发展中心主任</w:t>
            </w:r>
          </w:p>
        </w:tc>
        <w:tc>
          <w:tcPr>
            <w:tcW w:w="1636" w:type="dxa"/>
            <w:noWrap w:val="0"/>
            <w:vAlign w:val="center"/>
          </w:tcPr>
          <w:p w14:paraId="048FE37E">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13996518191</w:t>
            </w:r>
          </w:p>
        </w:tc>
      </w:tr>
      <w:tr w14:paraId="532D5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47" w:type="dxa"/>
            <w:vMerge w:val="continue"/>
            <w:noWrap w:val="0"/>
            <w:vAlign w:val="center"/>
          </w:tcPr>
          <w:p w14:paraId="12CFB20A">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p>
        </w:tc>
        <w:tc>
          <w:tcPr>
            <w:tcW w:w="1250" w:type="dxa"/>
            <w:noWrap w:val="0"/>
            <w:vAlign w:val="center"/>
          </w:tcPr>
          <w:p w14:paraId="7AA481DC">
            <w:pPr>
              <w:keepNext w:val="0"/>
              <w:keepLines w:val="0"/>
              <w:suppressLineNumbers w:val="0"/>
              <w:spacing w:before="0" w:beforeAutospacing="0" w:after="0" w:afterAutospacing="0"/>
              <w:ind w:left="0" w:right="0"/>
              <w:jc w:val="center"/>
              <w:rPr>
                <w:rFonts w:hint="default"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副组长</w:t>
            </w:r>
          </w:p>
        </w:tc>
        <w:tc>
          <w:tcPr>
            <w:tcW w:w="927" w:type="dxa"/>
            <w:noWrap w:val="0"/>
            <w:vAlign w:val="center"/>
          </w:tcPr>
          <w:p w14:paraId="21409406">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范军锋</w:t>
            </w:r>
          </w:p>
        </w:tc>
        <w:tc>
          <w:tcPr>
            <w:tcW w:w="3144" w:type="dxa"/>
            <w:noWrap w:val="0"/>
            <w:vAlign w:val="center"/>
          </w:tcPr>
          <w:p w14:paraId="24F832F4">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产业发展中心工作人员</w:t>
            </w:r>
          </w:p>
        </w:tc>
        <w:tc>
          <w:tcPr>
            <w:tcW w:w="1636" w:type="dxa"/>
            <w:noWrap w:val="0"/>
            <w:vAlign w:val="center"/>
          </w:tcPr>
          <w:p w14:paraId="25938DB0">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13996617555</w:t>
            </w:r>
          </w:p>
        </w:tc>
      </w:tr>
      <w:tr w14:paraId="5ADC2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47" w:type="dxa"/>
            <w:vMerge w:val="continue"/>
            <w:noWrap w:val="0"/>
            <w:vAlign w:val="center"/>
          </w:tcPr>
          <w:p w14:paraId="377C8E9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p>
        </w:tc>
        <w:tc>
          <w:tcPr>
            <w:tcW w:w="1250" w:type="dxa"/>
            <w:noWrap w:val="0"/>
            <w:vAlign w:val="center"/>
          </w:tcPr>
          <w:p w14:paraId="5B4C9B3F">
            <w:pPr>
              <w:keepNext w:val="0"/>
              <w:keepLines w:val="0"/>
              <w:suppressLineNumbers w:val="0"/>
              <w:spacing w:before="0" w:beforeAutospacing="0" w:after="0" w:afterAutospacing="0"/>
              <w:ind w:left="0" w:right="0"/>
              <w:jc w:val="center"/>
              <w:rPr>
                <w:rFonts w:hint="default"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成员</w:t>
            </w:r>
          </w:p>
        </w:tc>
        <w:tc>
          <w:tcPr>
            <w:tcW w:w="927" w:type="dxa"/>
            <w:noWrap w:val="0"/>
            <w:vAlign w:val="center"/>
          </w:tcPr>
          <w:p w14:paraId="6D9D8A11">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郭东</w:t>
            </w:r>
          </w:p>
        </w:tc>
        <w:tc>
          <w:tcPr>
            <w:tcW w:w="3144" w:type="dxa"/>
            <w:noWrap w:val="0"/>
            <w:vAlign w:val="center"/>
          </w:tcPr>
          <w:p w14:paraId="41FCAFEA">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产业发展中心工作人员</w:t>
            </w:r>
          </w:p>
        </w:tc>
        <w:tc>
          <w:tcPr>
            <w:tcW w:w="1636" w:type="dxa"/>
            <w:noWrap w:val="0"/>
            <w:vAlign w:val="center"/>
          </w:tcPr>
          <w:p w14:paraId="6DC2E8E4">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18996668189</w:t>
            </w:r>
          </w:p>
        </w:tc>
      </w:tr>
      <w:tr w14:paraId="5BB29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47" w:type="dxa"/>
            <w:vMerge w:val="restart"/>
            <w:noWrap w:val="0"/>
            <w:vAlign w:val="center"/>
          </w:tcPr>
          <w:p w14:paraId="19BC3E4B">
            <w:pPr>
              <w:keepNext w:val="0"/>
              <w:keepLines w:val="0"/>
              <w:suppressLineNumbers w:val="0"/>
              <w:spacing w:before="0" w:beforeAutospacing="0" w:after="0" w:afterAutospacing="0"/>
              <w:ind w:left="0" w:right="0"/>
              <w:jc w:val="center"/>
              <w:rPr>
                <w:rFonts w:hint="default"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综合协调组</w:t>
            </w:r>
          </w:p>
        </w:tc>
        <w:tc>
          <w:tcPr>
            <w:tcW w:w="1250" w:type="dxa"/>
            <w:noWrap w:val="0"/>
            <w:vAlign w:val="center"/>
          </w:tcPr>
          <w:p w14:paraId="30B642A4">
            <w:pPr>
              <w:keepNext w:val="0"/>
              <w:keepLines w:val="0"/>
              <w:suppressLineNumbers w:val="0"/>
              <w:spacing w:before="0" w:beforeAutospacing="0" w:after="0" w:afterAutospacing="0"/>
              <w:ind w:left="0" w:right="0"/>
              <w:jc w:val="center"/>
              <w:rPr>
                <w:rFonts w:hint="default"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组长</w:t>
            </w:r>
          </w:p>
        </w:tc>
        <w:tc>
          <w:tcPr>
            <w:tcW w:w="927" w:type="dxa"/>
            <w:noWrap w:val="0"/>
            <w:vAlign w:val="center"/>
          </w:tcPr>
          <w:p w14:paraId="09E2BC85">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王梅</w:t>
            </w:r>
          </w:p>
        </w:tc>
        <w:tc>
          <w:tcPr>
            <w:tcW w:w="3144" w:type="dxa"/>
            <w:noWrap w:val="0"/>
            <w:vAlign w:val="center"/>
          </w:tcPr>
          <w:p w14:paraId="7774D263">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基层治理综合指挥室负责人</w:t>
            </w:r>
          </w:p>
        </w:tc>
        <w:tc>
          <w:tcPr>
            <w:tcW w:w="1636" w:type="dxa"/>
            <w:noWrap w:val="0"/>
            <w:vAlign w:val="center"/>
          </w:tcPr>
          <w:p w14:paraId="04F22B12">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15330408929</w:t>
            </w:r>
          </w:p>
        </w:tc>
      </w:tr>
      <w:tr w14:paraId="00AE7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47" w:type="dxa"/>
            <w:vMerge w:val="continue"/>
            <w:noWrap w:val="0"/>
            <w:vAlign w:val="center"/>
          </w:tcPr>
          <w:p w14:paraId="58243E1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p>
        </w:tc>
        <w:tc>
          <w:tcPr>
            <w:tcW w:w="1250" w:type="dxa"/>
            <w:noWrap w:val="0"/>
            <w:vAlign w:val="center"/>
          </w:tcPr>
          <w:p w14:paraId="78DBBD85">
            <w:pPr>
              <w:keepNext w:val="0"/>
              <w:keepLines w:val="0"/>
              <w:suppressLineNumbers w:val="0"/>
              <w:spacing w:before="0" w:beforeAutospacing="0" w:after="0" w:afterAutospacing="0"/>
              <w:ind w:left="0" w:right="0"/>
              <w:jc w:val="center"/>
              <w:rPr>
                <w:rFonts w:hint="default"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副组长</w:t>
            </w:r>
          </w:p>
        </w:tc>
        <w:tc>
          <w:tcPr>
            <w:tcW w:w="927" w:type="dxa"/>
            <w:noWrap w:val="0"/>
            <w:vAlign w:val="center"/>
          </w:tcPr>
          <w:p w14:paraId="0DF5F16B">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王君豪</w:t>
            </w:r>
          </w:p>
        </w:tc>
        <w:tc>
          <w:tcPr>
            <w:tcW w:w="3144" w:type="dxa"/>
            <w:noWrap w:val="0"/>
            <w:vAlign w:val="center"/>
          </w:tcPr>
          <w:p w14:paraId="784CE511">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基层治理综合指挥室工作人员</w:t>
            </w:r>
          </w:p>
        </w:tc>
        <w:tc>
          <w:tcPr>
            <w:tcW w:w="1636" w:type="dxa"/>
            <w:noWrap w:val="0"/>
            <w:vAlign w:val="center"/>
          </w:tcPr>
          <w:p w14:paraId="36E506E2">
            <w:pPr>
              <w:spacing w:line="300" w:lineRule="atLeast"/>
              <w:jc w:val="center"/>
              <w:rPr>
                <w:rFonts w:hint="default"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18696966496</w:t>
            </w:r>
          </w:p>
        </w:tc>
      </w:tr>
      <w:tr w14:paraId="0B51C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47" w:type="dxa"/>
            <w:vMerge w:val="continue"/>
            <w:noWrap w:val="0"/>
            <w:vAlign w:val="center"/>
          </w:tcPr>
          <w:p w14:paraId="3CAEAFE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p>
        </w:tc>
        <w:tc>
          <w:tcPr>
            <w:tcW w:w="1250" w:type="dxa"/>
            <w:noWrap w:val="0"/>
            <w:vAlign w:val="center"/>
          </w:tcPr>
          <w:p w14:paraId="7D4D4A4E">
            <w:pPr>
              <w:keepNext w:val="0"/>
              <w:keepLines w:val="0"/>
              <w:suppressLineNumbers w:val="0"/>
              <w:spacing w:before="0" w:beforeAutospacing="0" w:after="0" w:afterAutospacing="0"/>
              <w:ind w:left="0" w:right="0"/>
              <w:jc w:val="center"/>
              <w:rPr>
                <w:rFonts w:hint="default"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成员</w:t>
            </w:r>
          </w:p>
        </w:tc>
        <w:tc>
          <w:tcPr>
            <w:tcW w:w="927" w:type="dxa"/>
            <w:noWrap w:val="0"/>
            <w:vAlign w:val="center"/>
          </w:tcPr>
          <w:p w14:paraId="059110D5">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邓苏娥</w:t>
            </w:r>
          </w:p>
        </w:tc>
        <w:tc>
          <w:tcPr>
            <w:tcW w:w="3144" w:type="dxa"/>
            <w:noWrap w:val="0"/>
            <w:vAlign w:val="center"/>
          </w:tcPr>
          <w:p w14:paraId="2C5F7302">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基层治理综合指挥室工作人员</w:t>
            </w:r>
          </w:p>
        </w:tc>
        <w:tc>
          <w:tcPr>
            <w:tcW w:w="1636" w:type="dxa"/>
            <w:noWrap w:val="0"/>
            <w:vAlign w:val="center"/>
          </w:tcPr>
          <w:p w14:paraId="3554B384">
            <w:pPr>
              <w:spacing w:line="300" w:lineRule="atLeast"/>
              <w:jc w:val="center"/>
              <w:rPr>
                <w:rFonts w:hint="default"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18883162911</w:t>
            </w:r>
          </w:p>
        </w:tc>
      </w:tr>
      <w:tr w14:paraId="1E6AC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47" w:type="dxa"/>
            <w:vMerge w:val="restart"/>
            <w:noWrap w:val="0"/>
            <w:vAlign w:val="center"/>
          </w:tcPr>
          <w:p w14:paraId="0ED16274">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eastAsia="zh-CN"/>
              </w:rPr>
              <w:t>警戒疏散组</w:t>
            </w:r>
          </w:p>
        </w:tc>
        <w:tc>
          <w:tcPr>
            <w:tcW w:w="1250" w:type="dxa"/>
            <w:noWrap w:val="0"/>
            <w:vAlign w:val="center"/>
          </w:tcPr>
          <w:p w14:paraId="001A001B">
            <w:pPr>
              <w:keepNext w:val="0"/>
              <w:keepLines w:val="0"/>
              <w:suppressLineNumbers w:val="0"/>
              <w:spacing w:before="0" w:beforeAutospacing="0" w:after="0" w:afterAutospacing="0"/>
              <w:ind w:left="0" w:right="0"/>
              <w:jc w:val="center"/>
              <w:rPr>
                <w:rFonts w:hint="default"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组长</w:t>
            </w:r>
          </w:p>
        </w:tc>
        <w:tc>
          <w:tcPr>
            <w:tcW w:w="927" w:type="dxa"/>
            <w:noWrap w:val="0"/>
            <w:vAlign w:val="center"/>
          </w:tcPr>
          <w:p w14:paraId="306F627F">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张巨炳</w:t>
            </w:r>
          </w:p>
        </w:tc>
        <w:tc>
          <w:tcPr>
            <w:tcW w:w="3144" w:type="dxa"/>
            <w:noWrap w:val="0"/>
            <w:vAlign w:val="center"/>
          </w:tcPr>
          <w:p w14:paraId="2DF8D797">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五通乡平安法制办主任</w:t>
            </w:r>
          </w:p>
        </w:tc>
        <w:tc>
          <w:tcPr>
            <w:tcW w:w="1636" w:type="dxa"/>
            <w:noWrap w:val="0"/>
            <w:vAlign w:val="center"/>
          </w:tcPr>
          <w:p w14:paraId="3AD1AD39">
            <w:pPr>
              <w:spacing w:line="300" w:lineRule="atLeast"/>
              <w:jc w:val="center"/>
              <w:rPr>
                <w:rFonts w:hint="default"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15213585333</w:t>
            </w:r>
          </w:p>
        </w:tc>
      </w:tr>
      <w:tr w14:paraId="1E5E6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47" w:type="dxa"/>
            <w:vMerge w:val="continue"/>
            <w:noWrap w:val="0"/>
            <w:vAlign w:val="center"/>
          </w:tcPr>
          <w:p w14:paraId="431CFFD9">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p>
        </w:tc>
        <w:tc>
          <w:tcPr>
            <w:tcW w:w="1250" w:type="dxa"/>
            <w:noWrap w:val="0"/>
            <w:vAlign w:val="center"/>
          </w:tcPr>
          <w:p w14:paraId="3E430559">
            <w:pPr>
              <w:keepNext w:val="0"/>
              <w:keepLines w:val="0"/>
              <w:suppressLineNumbers w:val="0"/>
              <w:spacing w:before="0" w:beforeAutospacing="0" w:after="0" w:afterAutospacing="0"/>
              <w:ind w:left="0" w:right="0"/>
              <w:jc w:val="center"/>
              <w:rPr>
                <w:rFonts w:hint="default"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副组长</w:t>
            </w:r>
          </w:p>
        </w:tc>
        <w:tc>
          <w:tcPr>
            <w:tcW w:w="927" w:type="dxa"/>
            <w:noWrap w:val="0"/>
            <w:vAlign w:val="center"/>
          </w:tcPr>
          <w:p w14:paraId="0953498C">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陈恒轩</w:t>
            </w:r>
          </w:p>
        </w:tc>
        <w:tc>
          <w:tcPr>
            <w:tcW w:w="3144" w:type="dxa"/>
            <w:noWrap w:val="0"/>
            <w:vAlign w:val="center"/>
          </w:tcPr>
          <w:p w14:paraId="53F97784">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五通乡执法大队大队长</w:t>
            </w:r>
          </w:p>
        </w:tc>
        <w:tc>
          <w:tcPr>
            <w:tcW w:w="1636" w:type="dxa"/>
            <w:noWrap w:val="0"/>
            <w:vAlign w:val="center"/>
          </w:tcPr>
          <w:p w14:paraId="1DCB4E45">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17783485027</w:t>
            </w:r>
          </w:p>
        </w:tc>
      </w:tr>
      <w:tr w14:paraId="17E69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47" w:type="dxa"/>
            <w:vMerge w:val="continue"/>
            <w:noWrap w:val="0"/>
            <w:vAlign w:val="center"/>
          </w:tcPr>
          <w:p w14:paraId="4BE744B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p>
        </w:tc>
        <w:tc>
          <w:tcPr>
            <w:tcW w:w="1250" w:type="dxa"/>
            <w:vMerge w:val="restart"/>
            <w:noWrap w:val="0"/>
            <w:vAlign w:val="center"/>
          </w:tcPr>
          <w:p w14:paraId="029E9FE0">
            <w:pPr>
              <w:keepNext w:val="0"/>
              <w:keepLines w:val="0"/>
              <w:suppressLineNumbers w:val="0"/>
              <w:spacing w:before="0" w:beforeAutospacing="0" w:after="0" w:afterAutospacing="0"/>
              <w:ind w:left="0" w:right="0"/>
              <w:jc w:val="center"/>
              <w:rPr>
                <w:rFonts w:hint="default"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成员</w:t>
            </w:r>
          </w:p>
        </w:tc>
        <w:tc>
          <w:tcPr>
            <w:tcW w:w="927" w:type="dxa"/>
            <w:noWrap w:val="0"/>
            <w:vAlign w:val="center"/>
          </w:tcPr>
          <w:p w14:paraId="5FC3C1CD">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张艳</w:t>
            </w:r>
          </w:p>
        </w:tc>
        <w:tc>
          <w:tcPr>
            <w:tcW w:w="3144" w:type="dxa"/>
            <w:noWrap w:val="0"/>
            <w:vAlign w:val="center"/>
          </w:tcPr>
          <w:p w14:paraId="20B98A60">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五通乡执法大队工作人员</w:t>
            </w:r>
          </w:p>
        </w:tc>
        <w:tc>
          <w:tcPr>
            <w:tcW w:w="1636" w:type="dxa"/>
            <w:noWrap w:val="0"/>
            <w:vAlign w:val="center"/>
          </w:tcPr>
          <w:p w14:paraId="70AF7FDD">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13062336110</w:t>
            </w:r>
          </w:p>
        </w:tc>
      </w:tr>
      <w:tr w14:paraId="4A15B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47" w:type="dxa"/>
            <w:vMerge w:val="continue"/>
            <w:noWrap w:val="0"/>
            <w:vAlign w:val="center"/>
          </w:tcPr>
          <w:p w14:paraId="14A9687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p>
        </w:tc>
        <w:tc>
          <w:tcPr>
            <w:tcW w:w="1250" w:type="dxa"/>
            <w:vMerge w:val="continue"/>
            <w:noWrap w:val="0"/>
            <w:vAlign w:val="center"/>
          </w:tcPr>
          <w:p w14:paraId="507F563F">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p>
        </w:tc>
        <w:tc>
          <w:tcPr>
            <w:tcW w:w="927" w:type="dxa"/>
            <w:noWrap w:val="0"/>
            <w:vAlign w:val="center"/>
          </w:tcPr>
          <w:p w14:paraId="1808694F">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刘波</w:t>
            </w:r>
          </w:p>
        </w:tc>
        <w:tc>
          <w:tcPr>
            <w:tcW w:w="3144" w:type="dxa"/>
            <w:noWrap w:val="0"/>
            <w:vAlign w:val="center"/>
          </w:tcPr>
          <w:p w14:paraId="05DDEE5B">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五通乡执法大队工作人员</w:t>
            </w:r>
          </w:p>
        </w:tc>
        <w:tc>
          <w:tcPr>
            <w:tcW w:w="1636" w:type="dxa"/>
            <w:noWrap w:val="0"/>
            <w:vAlign w:val="center"/>
          </w:tcPr>
          <w:p w14:paraId="6931B42B">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19823920158</w:t>
            </w:r>
          </w:p>
        </w:tc>
      </w:tr>
      <w:tr w14:paraId="611F1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exact"/>
        </w:trPr>
        <w:tc>
          <w:tcPr>
            <w:tcW w:w="1547" w:type="dxa"/>
            <w:shd w:val="clear" w:color="auto" w:fill="auto"/>
            <w:noWrap w:val="0"/>
            <w:vAlign w:val="center"/>
          </w:tcPr>
          <w:p w14:paraId="7EF1247B">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24小时值班电话</w:t>
            </w:r>
          </w:p>
        </w:tc>
        <w:tc>
          <w:tcPr>
            <w:tcW w:w="6957" w:type="dxa"/>
            <w:gridSpan w:val="4"/>
            <w:shd w:val="clear" w:color="auto" w:fill="auto"/>
            <w:noWrap w:val="0"/>
            <w:vAlign w:val="center"/>
          </w:tcPr>
          <w:p w14:paraId="6E4751DE">
            <w:pPr>
              <w:keepNext w:val="0"/>
              <w:keepLines w:val="0"/>
              <w:suppressLineNumbers w:val="0"/>
              <w:spacing w:before="0" w:beforeAutospacing="0" w:after="0" w:afterAutospacing="0"/>
              <w:ind w:left="0" w:right="0"/>
              <w:jc w:val="left"/>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五通乡自来水厂：陈颖13594422833</w:t>
            </w:r>
          </w:p>
          <w:p w14:paraId="25D1E018">
            <w:pPr>
              <w:keepNext w:val="0"/>
              <w:keepLines w:val="0"/>
              <w:suppressLineNumbers w:val="0"/>
              <w:spacing w:before="0" w:beforeAutospacing="0" w:after="0" w:afterAutospacing="0"/>
              <w:ind w:left="0" w:right="0"/>
              <w:jc w:val="left"/>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eastAsia="zh-CN"/>
              </w:rPr>
              <w:t>田冲村委会</w:t>
            </w:r>
            <w:r>
              <w:rPr>
                <w:rFonts w:hint="eastAsia" w:ascii="宋体" w:hAnsi="宋体" w:eastAsia="宋体" w:cs="宋体"/>
                <w:b w:val="0"/>
                <w:bCs w:val="0"/>
                <w:color w:val="auto"/>
                <w:sz w:val="21"/>
                <w:szCs w:val="21"/>
                <w:vertAlign w:val="baseline"/>
                <w:lang w:val="en-US" w:eastAsia="zh-CN"/>
              </w:rPr>
              <w:t>：张天学17783364218</w:t>
            </w:r>
          </w:p>
          <w:p w14:paraId="742CE39C">
            <w:pPr>
              <w:keepNext w:val="0"/>
              <w:keepLines w:val="0"/>
              <w:suppressLineNumbers w:val="0"/>
              <w:spacing w:before="0" w:beforeAutospacing="0" w:after="0" w:afterAutospacing="0"/>
              <w:ind w:left="0" w:right="0"/>
              <w:jc w:val="left"/>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五通乡</w:t>
            </w:r>
            <w:r>
              <w:rPr>
                <w:rFonts w:hint="eastAsia" w:ascii="宋体" w:hAnsi="宋体" w:eastAsia="宋体" w:cs="宋体"/>
                <w:sz w:val="21"/>
                <w:szCs w:val="21"/>
                <w:lang w:val="en-US" w:eastAsia="zh-CN"/>
              </w:rPr>
              <w:t>产业发展中心</w:t>
            </w:r>
            <w:r>
              <w:rPr>
                <w:rFonts w:hint="eastAsia" w:ascii="宋体" w:hAnsi="宋体" w:eastAsia="宋体" w:cs="宋体"/>
                <w:b w:val="0"/>
                <w:bCs w:val="0"/>
                <w:color w:val="auto"/>
                <w:sz w:val="21"/>
                <w:szCs w:val="21"/>
                <w:vertAlign w:val="baseline"/>
                <w:lang w:val="en-US" w:eastAsia="zh-CN"/>
              </w:rPr>
              <w:t>：范军锋13996617555</w:t>
            </w:r>
          </w:p>
        </w:tc>
      </w:tr>
    </w:tbl>
    <w:p w14:paraId="32C92C40">
      <w:pPr>
        <w:widowControl/>
        <w:jc w:val="center"/>
        <w:rPr>
          <w:rFonts w:hint="eastAsia" w:ascii="宋体" w:hAnsi="宋体" w:cs="宋体"/>
          <w:b/>
          <w:bCs/>
          <w:kern w:val="0"/>
          <w:sz w:val="24"/>
        </w:rPr>
      </w:pPr>
    </w:p>
    <w:p w14:paraId="3BAED648">
      <w:pPr>
        <w:pStyle w:val="21"/>
        <w:rPr>
          <w:rFonts w:hint="eastAsia" w:ascii="宋体" w:hAnsi="宋体" w:cs="宋体"/>
          <w:b/>
          <w:bCs/>
          <w:kern w:val="0"/>
          <w:sz w:val="24"/>
        </w:rPr>
      </w:pPr>
    </w:p>
    <w:p w14:paraId="0F5AB690">
      <w:pPr>
        <w:pStyle w:val="21"/>
        <w:rPr>
          <w:rFonts w:hint="eastAsia" w:ascii="宋体" w:hAnsi="宋体" w:cs="宋体"/>
          <w:b/>
          <w:bCs/>
          <w:kern w:val="0"/>
          <w:sz w:val="24"/>
        </w:rPr>
      </w:pPr>
    </w:p>
    <w:p w14:paraId="32BF5F5C">
      <w:pPr>
        <w:widowControl/>
        <w:jc w:val="center"/>
        <w:rPr>
          <w:rFonts w:ascii="仿宋_GB2312" w:hAnsi="宋体" w:eastAsia="仿宋_GB2312" w:cs="宋体"/>
          <w:kern w:val="0"/>
          <w:sz w:val="24"/>
        </w:rPr>
        <w:sectPr>
          <w:footerReference r:id="rId8" w:type="default"/>
          <w:pgSz w:w="11906" w:h="16838"/>
          <w:pgMar w:top="1327" w:right="1412" w:bottom="1327" w:left="1406" w:header="720" w:footer="720" w:gutter="0"/>
          <w:pgNumType w:fmt="decimal" w:start="1"/>
          <w:cols w:space="720" w:num="1"/>
          <w:docGrid w:type="lines" w:linePitch="312" w:charSpace="0"/>
        </w:sectPr>
      </w:pPr>
    </w:p>
    <w:p w14:paraId="1584FDA7">
      <w:pPr>
        <w:keepNext w:val="0"/>
        <w:keepLines w:val="0"/>
        <w:pageBreakBefore w:val="0"/>
        <w:widowControl w:val="0"/>
        <w:kinsoku/>
        <w:wordWrap/>
        <w:overflowPunct/>
        <w:topLinePunct w:val="0"/>
        <w:autoSpaceDE w:val="0"/>
        <w:autoSpaceDN w:val="0"/>
        <w:bidi w:val="0"/>
        <w:adjustRightInd/>
        <w:snapToGrid/>
        <w:spacing w:line="360" w:lineRule="auto"/>
        <w:textAlignment w:val="auto"/>
        <w:outlineLvl w:val="1"/>
        <w:rPr>
          <w:rFonts w:hint="eastAsia" w:cs="宋体"/>
          <w:b/>
          <w:bCs/>
          <w:color w:val="auto"/>
          <w:sz w:val="28"/>
          <w:szCs w:val="28"/>
          <w:lang w:val="en-US" w:eastAsia="zh-CN"/>
        </w:rPr>
      </w:pPr>
      <w:bookmarkStart w:id="172" w:name="_Toc21682"/>
      <w:r>
        <w:rPr>
          <w:rFonts w:hint="eastAsia" w:cs="宋体"/>
          <w:b/>
          <w:bCs/>
          <w:color w:val="auto"/>
          <w:sz w:val="28"/>
          <w:szCs w:val="28"/>
          <w:lang w:val="en-US" w:eastAsia="zh-CN"/>
        </w:rPr>
        <w:t>附件</w:t>
      </w:r>
      <w:bookmarkEnd w:id="172"/>
      <w:r>
        <w:rPr>
          <w:rFonts w:hint="eastAsia" w:cs="宋体"/>
          <w:b/>
          <w:bCs/>
          <w:color w:val="auto"/>
          <w:sz w:val="28"/>
          <w:szCs w:val="28"/>
          <w:lang w:val="en-US" w:eastAsia="zh-CN"/>
        </w:rPr>
        <w:t>2：五通乡突发环境事件应急物资清单</w:t>
      </w:r>
    </w:p>
    <w:p w14:paraId="6E4FAB8F">
      <w:pPr>
        <w:pStyle w:val="4"/>
        <w:spacing w:before="156" w:beforeLines="50" w:after="156" w:afterLines="50" w:line="360" w:lineRule="auto"/>
        <w:jc w:val="center"/>
        <w:rPr>
          <w:rFonts w:hint="eastAsia" w:ascii="宋体" w:hAnsi="宋体" w:eastAsia="宋体" w:cs="宋体"/>
          <w:b/>
          <w:bCs/>
          <w:sz w:val="24"/>
          <w:szCs w:val="24"/>
        </w:rPr>
      </w:pPr>
      <w:bookmarkStart w:id="173" w:name="_Toc18193"/>
      <w:r>
        <w:rPr>
          <w:rFonts w:hint="eastAsia" w:ascii="宋体" w:hAnsi="宋体" w:eastAsia="宋体" w:cs="宋体"/>
          <w:b/>
          <w:bCs/>
          <w:sz w:val="24"/>
          <w:szCs w:val="24"/>
          <w:lang w:eastAsia="zh-CN"/>
        </w:rPr>
        <w:t>五通乡</w:t>
      </w:r>
      <w:r>
        <w:rPr>
          <w:rFonts w:hint="eastAsia" w:ascii="宋体" w:hAnsi="宋体" w:eastAsia="宋体" w:cs="宋体"/>
          <w:b/>
          <w:bCs/>
          <w:sz w:val="24"/>
          <w:szCs w:val="24"/>
        </w:rPr>
        <w:t>突发环境事件应急物资清单</w:t>
      </w:r>
      <w:bookmarkEnd w:id="173"/>
    </w:p>
    <w:tbl>
      <w:tblPr>
        <w:tblStyle w:val="16"/>
        <w:tblW w:w="8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7"/>
        <w:gridCol w:w="1788"/>
        <w:gridCol w:w="1242"/>
        <w:gridCol w:w="1955"/>
        <w:gridCol w:w="1247"/>
        <w:gridCol w:w="1738"/>
      </w:tblGrid>
      <w:tr w14:paraId="481C3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34ADCD59">
            <w:pPr>
              <w:pStyle w:val="28"/>
              <w:keepNext w:val="0"/>
              <w:keepLines w:val="0"/>
              <w:pageBreakBefore w:val="0"/>
              <w:widowControl w:val="0"/>
              <w:kinsoku/>
              <w:wordWrap/>
              <w:overflowPunct/>
              <w:topLinePunct w:val="0"/>
              <w:autoSpaceDE/>
              <w:autoSpaceDN/>
              <w:bidi w:val="0"/>
              <w:adjustRightInd w:val="0"/>
              <w:snapToGrid w:val="0"/>
              <w:spacing w:line="240" w:lineRule="atLeast"/>
              <w:ind w:left="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序号</w:t>
            </w:r>
          </w:p>
        </w:tc>
        <w:tc>
          <w:tcPr>
            <w:tcW w:w="1788" w:type="dxa"/>
            <w:noWrap w:val="0"/>
            <w:vAlign w:val="center"/>
          </w:tcPr>
          <w:p w14:paraId="1D273182">
            <w:pPr>
              <w:pStyle w:val="28"/>
              <w:keepNext w:val="0"/>
              <w:keepLines w:val="0"/>
              <w:pageBreakBefore w:val="0"/>
              <w:widowControl w:val="0"/>
              <w:kinsoku/>
              <w:wordWrap/>
              <w:overflowPunct/>
              <w:topLinePunct w:val="0"/>
              <w:autoSpaceDE/>
              <w:autoSpaceDN/>
              <w:bidi w:val="0"/>
              <w:adjustRightInd w:val="0"/>
              <w:snapToGrid w:val="0"/>
              <w:spacing w:line="240" w:lineRule="atLeast"/>
              <w:ind w:left="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物资名称</w:t>
            </w:r>
          </w:p>
        </w:tc>
        <w:tc>
          <w:tcPr>
            <w:tcW w:w="1242" w:type="dxa"/>
            <w:noWrap w:val="0"/>
            <w:vAlign w:val="center"/>
          </w:tcPr>
          <w:p w14:paraId="5DAEA4A2">
            <w:pPr>
              <w:pStyle w:val="28"/>
              <w:keepNext w:val="0"/>
              <w:keepLines w:val="0"/>
              <w:pageBreakBefore w:val="0"/>
              <w:widowControl w:val="0"/>
              <w:kinsoku/>
              <w:wordWrap/>
              <w:overflowPunct/>
              <w:topLinePunct w:val="0"/>
              <w:autoSpaceDE/>
              <w:autoSpaceDN/>
              <w:bidi w:val="0"/>
              <w:adjustRightInd w:val="0"/>
              <w:snapToGrid w:val="0"/>
              <w:spacing w:line="240" w:lineRule="atLeast"/>
              <w:ind w:left="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数量</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单位</w:t>
            </w:r>
          </w:p>
        </w:tc>
        <w:tc>
          <w:tcPr>
            <w:tcW w:w="1955" w:type="dxa"/>
            <w:noWrap w:val="0"/>
            <w:vAlign w:val="center"/>
          </w:tcPr>
          <w:p w14:paraId="456F7ED7">
            <w:pPr>
              <w:pStyle w:val="28"/>
              <w:keepNext w:val="0"/>
              <w:keepLines w:val="0"/>
              <w:pageBreakBefore w:val="0"/>
              <w:widowControl w:val="0"/>
              <w:kinsoku/>
              <w:wordWrap/>
              <w:overflowPunct/>
              <w:topLinePunct w:val="0"/>
              <w:autoSpaceDE/>
              <w:autoSpaceDN/>
              <w:bidi w:val="0"/>
              <w:adjustRightInd w:val="0"/>
              <w:snapToGrid w:val="0"/>
              <w:spacing w:line="240" w:lineRule="atLeast"/>
              <w:ind w:left="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存放地点</w:t>
            </w:r>
          </w:p>
        </w:tc>
        <w:tc>
          <w:tcPr>
            <w:tcW w:w="1247" w:type="dxa"/>
            <w:noWrap w:val="0"/>
            <w:vAlign w:val="center"/>
          </w:tcPr>
          <w:p w14:paraId="42D733DC">
            <w:pPr>
              <w:pStyle w:val="28"/>
              <w:keepNext w:val="0"/>
              <w:keepLines w:val="0"/>
              <w:pageBreakBefore w:val="0"/>
              <w:widowControl w:val="0"/>
              <w:kinsoku/>
              <w:wordWrap/>
              <w:overflowPunct/>
              <w:topLinePunct w:val="0"/>
              <w:autoSpaceDE/>
              <w:autoSpaceDN/>
              <w:bidi w:val="0"/>
              <w:adjustRightInd w:val="0"/>
              <w:snapToGrid w:val="0"/>
              <w:spacing w:line="240" w:lineRule="atLeast"/>
              <w:ind w:left="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联系人</w:t>
            </w:r>
          </w:p>
        </w:tc>
        <w:tc>
          <w:tcPr>
            <w:tcW w:w="1738" w:type="dxa"/>
            <w:noWrap w:val="0"/>
            <w:vAlign w:val="center"/>
          </w:tcPr>
          <w:p w14:paraId="2412E476">
            <w:pPr>
              <w:pStyle w:val="28"/>
              <w:keepNext w:val="0"/>
              <w:keepLines w:val="0"/>
              <w:pageBreakBefore w:val="0"/>
              <w:widowControl w:val="0"/>
              <w:kinsoku/>
              <w:wordWrap/>
              <w:overflowPunct/>
              <w:topLinePunct w:val="0"/>
              <w:autoSpaceDE/>
              <w:autoSpaceDN/>
              <w:bidi w:val="0"/>
              <w:adjustRightInd w:val="0"/>
              <w:snapToGrid w:val="0"/>
              <w:spacing w:line="240" w:lineRule="atLeast"/>
              <w:ind w:left="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联系电话</w:t>
            </w:r>
          </w:p>
        </w:tc>
      </w:tr>
      <w:tr w14:paraId="49CBA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4717EE45">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w:t>
            </w:r>
          </w:p>
        </w:tc>
        <w:tc>
          <w:tcPr>
            <w:tcW w:w="1788" w:type="dxa"/>
            <w:noWrap w:val="0"/>
            <w:vAlign w:val="center"/>
          </w:tcPr>
          <w:p w14:paraId="6DF0E487">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消防救援绳</w:t>
            </w:r>
          </w:p>
        </w:tc>
        <w:tc>
          <w:tcPr>
            <w:tcW w:w="1242" w:type="dxa"/>
            <w:noWrap w:val="0"/>
            <w:vAlign w:val="center"/>
          </w:tcPr>
          <w:p w14:paraId="26F6A3BC">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22根</w:t>
            </w:r>
          </w:p>
        </w:tc>
        <w:tc>
          <w:tcPr>
            <w:tcW w:w="1955" w:type="dxa"/>
            <w:noWrap w:val="0"/>
            <w:vAlign w:val="center"/>
          </w:tcPr>
          <w:p w14:paraId="3EFE5EEA">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应急物资储备仓库</w:t>
            </w:r>
          </w:p>
        </w:tc>
        <w:tc>
          <w:tcPr>
            <w:tcW w:w="1247" w:type="dxa"/>
            <w:noWrap w:val="0"/>
            <w:vAlign w:val="center"/>
          </w:tcPr>
          <w:p w14:paraId="0BC6BCF5">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张艳</w:t>
            </w:r>
          </w:p>
        </w:tc>
        <w:tc>
          <w:tcPr>
            <w:tcW w:w="1738" w:type="dxa"/>
            <w:noWrap w:val="0"/>
            <w:vAlign w:val="center"/>
          </w:tcPr>
          <w:p w14:paraId="10EFA5BB">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5255F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39574DAD">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w:t>
            </w:r>
          </w:p>
        </w:tc>
        <w:tc>
          <w:tcPr>
            <w:tcW w:w="1788" w:type="dxa"/>
            <w:noWrap w:val="0"/>
            <w:vAlign w:val="center"/>
          </w:tcPr>
          <w:p w14:paraId="5DB8C241">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消防水带</w:t>
            </w:r>
          </w:p>
        </w:tc>
        <w:tc>
          <w:tcPr>
            <w:tcW w:w="1242" w:type="dxa"/>
            <w:noWrap w:val="0"/>
            <w:vAlign w:val="center"/>
          </w:tcPr>
          <w:p w14:paraId="026649EC">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44跟</w:t>
            </w:r>
          </w:p>
        </w:tc>
        <w:tc>
          <w:tcPr>
            <w:tcW w:w="1955" w:type="dxa"/>
            <w:noWrap w:val="0"/>
            <w:vAlign w:val="center"/>
          </w:tcPr>
          <w:p w14:paraId="17A21573">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应急物资储备仓库</w:t>
            </w:r>
          </w:p>
        </w:tc>
        <w:tc>
          <w:tcPr>
            <w:tcW w:w="1247" w:type="dxa"/>
            <w:noWrap w:val="0"/>
            <w:vAlign w:val="center"/>
          </w:tcPr>
          <w:p w14:paraId="1827FCFE">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00DE6B6E">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4B317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6A77FDC5">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w:t>
            </w:r>
          </w:p>
        </w:tc>
        <w:tc>
          <w:tcPr>
            <w:tcW w:w="1788" w:type="dxa"/>
            <w:noWrap w:val="0"/>
            <w:vAlign w:val="center"/>
          </w:tcPr>
          <w:p w14:paraId="266A8527">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安全帽</w:t>
            </w:r>
          </w:p>
        </w:tc>
        <w:tc>
          <w:tcPr>
            <w:tcW w:w="1242" w:type="dxa"/>
            <w:noWrap w:val="0"/>
            <w:vAlign w:val="center"/>
          </w:tcPr>
          <w:p w14:paraId="1B44ECB9">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12顶</w:t>
            </w:r>
          </w:p>
        </w:tc>
        <w:tc>
          <w:tcPr>
            <w:tcW w:w="1955" w:type="dxa"/>
            <w:noWrap w:val="0"/>
            <w:vAlign w:val="center"/>
          </w:tcPr>
          <w:p w14:paraId="3432530A">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应急物资储备仓库</w:t>
            </w:r>
          </w:p>
        </w:tc>
        <w:tc>
          <w:tcPr>
            <w:tcW w:w="1247" w:type="dxa"/>
            <w:noWrap w:val="0"/>
            <w:vAlign w:val="center"/>
          </w:tcPr>
          <w:p w14:paraId="1FA4D092">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108CF045">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737ED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5D95E5A7">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w:t>
            </w:r>
          </w:p>
        </w:tc>
        <w:tc>
          <w:tcPr>
            <w:tcW w:w="1788" w:type="dxa"/>
            <w:noWrap w:val="0"/>
            <w:vAlign w:val="center"/>
          </w:tcPr>
          <w:p w14:paraId="6C66E08C">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灭火毯</w:t>
            </w:r>
          </w:p>
        </w:tc>
        <w:tc>
          <w:tcPr>
            <w:tcW w:w="1242" w:type="dxa"/>
            <w:noWrap w:val="0"/>
            <w:vAlign w:val="center"/>
          </w:tcPr>
          <w:p w14:paraId="2FBF6D76">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5条</w:t>
            </w:r>
          </w:p>
        </w:tc>
        <w:tc>
          <w:tcPr>
            <w:tcW w:w="1955" w:type="dxa"/>
            <w:noWrap w:val="0"/>
            <w:vAlign w:val="center"/>
          </w:tcPr>
          <w:p w14:paraId="0BA16910">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应急物资储备仓库</w:t>
            </w:r>
          </w:p>
        </w:tc>
        <w:tc>
          <w:tcPr>
            <w:tcW w:w="1247" w:type="dxa"/>
            <w:noWrap w:val="0"/>
            <w:vAlign w:val="center"/>
          </w:tcPr>
          <w:p w14:paraId="775B9F00">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6F9E3207">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0CB97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6B7AF596">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w:t>
            </w:r>
          </w:p>
        </w:tc>
        <w:tc>
          <w:tcPr>
            <w:tcW w:w="1788" w:type="dxa"/>
            <w:noWrap w:val="0"/>
            <w:vAlign w:val="center"/>
          </w:tcPr>
          <w:p w14:paraId="4635F32B">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消防栓开关手柄</w:t>
            </w:r>
          </w:p>
        </w:tc>
        <w:tc>
          <w:tcPr>
            <w:tcW w:w="1242" w:type="dxa"/>
            <w:noWrap w:val="0"/>
            <w:vAlign w:val="center"/>
          </w:tcPr>
          <w:p w14:paraId="2B31F503">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3把</w:t>
            </w:r>
          </w:p>
        </w:tc>
        <w:tc>
          <w:tcPr>
            <w:tcW w:w="1955" w:type="dxa"/>
            <w:noWrap w:val="0"/>
            <w:vAlign w:val="center"/>
          </w:tcPr>
          <w:p w14:paraId="22AF1A8E">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应急物资储备仓库</w:t>
            </w:r>
          </w:p>
        </w:tc>
        <w:tc>
          <w:tcPr>
            <w:tcW w:w="1247" w:type="dxa"/>
            <w:noWrap w:val="0"/>
            <w:vAlign w:val="center"/>
          </w:tcPr>
          <w:p w14:paraId="0141508F">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114804A4">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36064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77621FA1">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6</w:t>
            </w:r>
          </w:p>
        </w:tc>
        <w:tc>
          <w:tcPr>
            <w:tcW w:w="1788" w:type="dxa"/>
            <w:noWrap w:val="0"/>
            <w:vAlign w:val="center"/>
          </w:tcPr>
          <w:p w14:paraId="42CFECD4">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消防水枪</w:t>
            </w:r>
          </w:p>
        </w:tc>
        <w:tc>
          <w:tcPr>
            <w:tcW w:w="1242" w:type="dxa"/>
            <w:noWrap w:val="0"/>
            <w:vAlign w:val="center"/>
          </w:tcPr>
          <w:p w14:paraId="734DC4F7">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4个</w:t>
            </w:r>
          </w:p>
        </w:tc>
        <w:tc>
          <w:tcPr>
            <w:tcW w:w="1955" w:type="dxa"/>
            <w:noWrap w:val="0"/>
            <w:vAlign w:val="center"/>
          </w:tcPr>
          <w:p w14:paraId="0BC51B89">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应急物资储备仓库</w:t>
            </w:r>
          </w:p>
        </w:tc>
        <w:tc>
          <w:tcPr>
            <w:tcW w:w="1247" w:type="dxa"/>
            <w:noWrap w:val="0"/>
            <w:vAlign w:val="center"/>
          </w:tcPr>
          <w:p w14:paraId="27BE337B">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2DFFA09D">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3A4B0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2C2D92AB">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7</w:t>
            </w:r>
          </w:p>
        </w:tc>
        <w:tc>
          <w:tcPr>
            <w:tcW w:w="1788" w:type="dxa"/>
            <w:noWrap w:val="0"/>
            <w:vAlign w:val="center"/>
          </w:tcPr>
          <w:p w14:paraId="4B5486AE">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消防水泵</w:t>
            </w:r>
          </w:p>
        </w:tc>
        <w:tc>
          <w:tcPr>
            <w:tcW w:w="1242" w:type="dxa"/>
            <w:noWrap w:val="0"/>
            <w:vAlign w:val="center"/>
          </w:tcPr>
          <w:p w14:paraId="013ED77D">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2个</w:t>
            </w:r>
          </w:p>
        </w:tc>
        <w:tc>
          <w:tcPr>
            <w:tcW w:w="1955" w:type="dxa"/>
            <w:noWrap w:val="0"/>
            <w:vAlign w:val="center"/>
          </w:tcPr>
          <w:p w14:paraId="1CE256C6">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应急物资储备仓库</w:t>
            </w:r>
          </w:p>
        </w:tc>
        <w:tc>
          <w:tcPr>
            <w:tcW w:w="1247" w:type="dxa"/>
            <w:noWrap w:val="0"/>
            <w:vAlign w:val="center"/>
          </w:tcPr>
          <w:p w14:paraId="57F37405">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6F571163">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08BC6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30B5B140">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8</w:t>
            </w:r>
          </w:p>
        </w:tc>
        <w:tc>
          <w:tcPr>
            <w:tcW w:w="1788" w:type="dxa"/>
            <w:noWrap w:val="0"/>
            <w:vAlign w:val="center"/>
          </w:tcPr>
          <w:p w14:paraId="271A990E">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消防腰斧</w:t>
            </w:r>
          </w:p>
        </w:tc>
        <w:tc>
          <w:tcPr>
            <w:tcW w:w="1242" w:type="dxa"/>
            <w:noWrap w:val="0"/>
            <w:vAlign w:val="center"/>
          </w:tcPr>
          <w:p w14:paraId="7053635E">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10个</w:t>
            </w:r>
          </w:p>
        </w:tc>
        <w:tc>
          <w:tcPr>
            <w:tcW w:w="1955" w:type="dxa"/>
            <w:noWrap w:val="0"/>
            <w:vAlign w:val="center"/>
          </w:tcPr>
          <w:p w14:paraId="373B7F9A">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应急物资储备仓库</w:t>
            </w:r>
          </w:p>
        </w:tc>
        <w:tc>
          <w:tcPr>
            <w:tcW w:w="1247" w:type="dxa"/>
            <w:noWrap w:val="0"/>
            <w:vAlign w:val="center"/>
          </w:tcPr>
          <w:p w14:paraId="0DBEC3B1">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11C2172A">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1200C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47FEAAA5">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9</w:t>
            </w:r>
          </w:p>
        </w:tc>
        <w:tc>
          <w:tcPr>
            <w:tcW w:w="1788" w:type="dxa"/>
            <w:noWrap w:val="0"/>
            <w:vAlign w:val="center"/>
          </w:tcPr>
          <w:p w14:paraId="16C412F7">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消防水鞋</w:t>
            </w:r>
          </w:p>
        </w:tc>
        <w:tc>
          <w:tcPr>
            <w:tcW w:w="1242" w:type="dxa"/>
            <w:noWrap w:val="0"/>
            <w:vAlign w:val="center"/>
          </w:tcPr>
          <w:p w14:paraId="5AF173D1">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9双</w:t>
            </w:r>
          </w:p>
        </w:tc>
        <w:tc>
          <w:tcPr>
            <w:tcW w:w="1955" w:type="dxa"/>
            <w:noWrap w:val="0"/>
            <w:vAlign w:val="center"/>
          </w:tcPr>
          <w:p w14:paraId="4D627930">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应急物资储备仓库</w:t>
            </w:r>
          </w:p>
        </w:tc>
        <w:tc>
          <w:tcPr>
            <w:tcW w:w="1247" w:type="dxa"/>
            <w:noWrap w:val="0"/>
            <w:vAlign w:val="center"/>
          </w:tcPr>
          <w:p w14:paraId="30ADB91A">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32C798D7">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0A163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4" w:hRule="atLeast"/>
          <w:jc w:val="center"/>
        </w:trPr>
        <w:tc>
          <w:tcPr>
            <w:tcW w:w="547" w:type="dxa"/>
            <w:noWrap w:val="0"/>
            <w:vAlign w:val="center"/>
          </w:tcPr>
          <w:p w14:paraId="6A5AAB45">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10</w:t>
            </w:r>
          </w:p>
        </w:tc>
        <w:tc>
          <w:tcPr>
            <w:tcW w:w="1788" w:type="dxa"/>
            <w:noWrap w:val="0"/>
            <w:vAlign w:val="center"/>
          </w:tcPr>
          <w:p w14:paraId="26D9E7DC">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消防安全帽</w:t>
            </w:r>
          </w:p>
        </w:tc>
        <w:tc>
          <w:tcPr>
            <w:tcW w:w="1242" w:type="dxa"/>
            <w:noWrap w:val="0"/>
            <w:vAlign w:val="center"/>
          </w:tcPr>
          <w:p w14:paraId="4CFA320B">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9顶</w:t>
            </w:r>
          </w:p>
        </w:tc>
        <w:tc>
          <w:tcPr>
            <w:tcW w:w="1955" w:type="dxa"/>
            <w:noWrap w:val="0"/>
            <w:vAlign w:val="center"/>
          </w:tcPr>
          <w:p w14:paraId="4179835B">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应急物资储备仓库</w:t>
            </w:r>
          </w:p>
        </w:tc>
        <w:tc>
          <w:tcPr>
            <w:tcW w:w="1247" w:type="dxa"/>
            <w:noWrap w:val="0"/>
            <w:vAlign w:val="center"/>
          </w:tcPr>
          <w:p w14:paraId="2B753540">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0557DDB1">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31753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62B27F50">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11</w:t>
            </w:r>
          </w:p>
        </w:tc>
        <w:tc>
          <w:tcPr>
            <w:tcW w:w="1788" w:type="dxa"/>
            <w:noWrap w:val="0"/>
            <w:vAlign w:val="center"/>
          </w:tcPr>
          <w:p w14:paraId="5856BD59">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消防救援服</w:t>
            </w:r>
          </w:p>
        </w:tc>
        <w:tc>
          <w:tcPr>
            <w:tcW w:w="1242" w:type="dxa"/>
            <w:noWrap w:val="0"/>
            <w:vAlign w:val="center"/>
          </w:tcPr>
          <w:p w14:paraId="00A12360">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24套</w:t>
            </w:r>
          </w:p>
        </w:tc>
        <w:tc>
          <w:tcPr>
            <w:tcW w:w="1955" w:type="dxa"/>
            <w:noWrap w:val="0"/>
            <w:vAlign w:val="center"/>
          </w:tcPr>
          <w:p w14:paraId="63DD7E6C">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应急物资储备仓库</w:t>
            </w:r>
          </w:p>
        </w:tc>
        <w:tc>
          <w:tcPr>
            <w:tcW w:w="1247" w:type="dxa"/>
            <w:noWrap w:val="0"/>
            <w:vAlign w:val="center"/>
          </w:tcPr>
          <w:p w14:paraId="02119650">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630690DD">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00A77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653DC955">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12</w:t>
            </w:r>
          </w:p>
        </w:tc>
        <w:tc>
          <w:tcPr>
            <w:tcW w:w="1788" w:type="dxa"/>
            <w:noWrap w:val="0"/>
            <w:vAlign w:val="center"/>
          </w:tcPr>
          <w:p w14:paraId="1AC966FB">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水剂灭火器</w:t>
            </w:r>
          </w:p>
        </w:tc>
        <w:tc>
          <w:tcPr>
            <w:tcW w:w="1242" w:type="dxa"/>
            <w:noWrap w:val="0"/>
            <w:vAlign w:val="center"/>
          </w:tcPr>
          <w:p w14:paraId="0496559F">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10个</w:t>
            </w:r>
          </w:p>
        </w:tc>
        <w:tc>
          <w:tcPr>
            <w:tcW w:w="1955" w:type="dxa"/>
            <w:noWrap w:val="0"/>
            <w:vAlign w:val="center"/>
          </w:tcPr>
          <w:p w14:paraId="05206CB4">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应急物资储备仓库</w:t>
            </w:r>
          </w:p>
        </w:tc>
        <w:tc>
          <w:tcPr>
            <w:tcW w:w="1247" w:type="dxa"/>
            <w:noWrap w:val="0"/>
            <w:vAlign w:val="center"/>
          </w:tcPr>
          <w:p w14:paraId="542BE296">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569D839D">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14ACE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68E7CACF">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13</w:t>
            </w:r>
          </w:p>
        </w:tc>
        <w:tc>
          <w:tcPr>
            <w:tcW w:w="1788" w:type="dxa"/>
            <w:noWrap w:val="0"/>
            <w:vAlign w:val="center"/>
          </w:tcPr>
          <w:p w14:paraId="5671B002">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自救呼吸器</w:t>
            </w:r>
          </w:p>
        </w:tc>
        <w:tc>
          <w:tcPr>
            <w:tcW w:w="1242" w:type="dxa"/>
            <w:noWrap w:val="0"/>
            <w:vAlign w:val="center"/>
          </w:tcPr>
          <w:p w14:paraId="3129FEBD">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15个</w:t>
            </w:r>
          </w:p>
        </w:tc>
        <w:tc>
          <w:tcPr>
            <w:tcW w:w="1955" w:type="dxa"/>
            <w:noWrap w:val="0"/>
            <w:vAlign w:val="center"/>
          </w:tcPr>
          <w:p w14:paraId="1CB5EF89">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应急物资储备仓库</w:t>
            </w:r>
          </w:p>
        </w:tc>
        <w:tc>
          <w:tcPr>
            <w:tcW w:w="1247" w:type="dxa"/>
            <w:noWrap w:val="0"/>
            <w:vAlign w:val="center"/>
          </w:tcPr>
          <w:p w14:paraId="225997FF">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31B8DA51">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3C5F1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2AF9F1A1">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14</w:t>
            </w:r>
          </w:p>
        </w:tc>
        <w:tc>
          <w:tcPr>
            <w:tcW w:w="1788" w:type="dxa"/>
            <w:noWrap w:val="0"/>
            <w:vAlign w:val="center"/>
          </w:tcPr>
          <w:p w14:paraId="3F17CEA7">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乳胶手套</w:t>
            </w:r>
          </w:p>
        </w:tc>
        <w:tc>
          <w:tcPr>
            <w:tcW w:w="1242" w:type="dxa"/>
            <w:noWrap w:val="0"/>
            <w:vAlign w:val="center"/>
          </w:tcPr>
          <w:p w14:paraId="4356F615">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24双</w:t>
            </w:r>
          </w:p>
        </w:tc>
        <w:tc>
          <w:tcPr>
            <w:tcW w:w="1955" w:type="dxa"/>
            <w:noWrap w:val="0"/>
            <w:vAlign w:val="center"/>
          </w:tcPr>
          <w:p w14:paraId="2260995F">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应急物资储备仓库</w:t>
            </w:r>
          </w:p>
        </w:tc>
        <w:tc>
          <w:tcPr>
            <w:tcW w:w="1247" w:type="dxa"/>
            <w:noWrap w:val="0"/>
            <w:vAlign w:val="center"/>
          </w:tcPr>
          <w:p w14:paraId="5EA5AE22">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09AE3AA0">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30EC5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1B651770">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15</w:t>
            </w:r>
          </w:p>
        </w:tc>
        <w:tc>
          <w:tcPr>
            <w:tcW w:w="1788" w:type="dxa"/>
            <w:noWrap w:val="0"/>
            <w:vAlign w:val="center"/>
          </w:tcPr>
          <w:p w14:paraId="1EADF427">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断线钳</w:t>
            </w:r>
          </w:p>
        </w:tc>
        <w:tc>
          <w:tcPr>
            <w:tcW w:w="1242" w:type="dxa"/>
            <w:noWrap w:val="0"/>
            <w:vAlign w:val="center"/>
          </w:tcPr>
          <w:p w14:paraId="7B7C98E4">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2把</w:t>
            </w:r>
          </w:p>
        </w:tc>
        <w:tc>
          <w:tcPr>
            <w:tcW w:w="1955" w:type="dxa"/>
            <w:noWrap w:val="0"/>
            <w:vAlign w:val="center"/>
          </w:tcPr>
          <w:p w14:paraId="4BF80348">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应急物资储备仓库</w:t>
            </w:r>
          </w:p>
        </w:tc>
        <w:tc>
          <w:tcPr>
            <w:tcW w:w="1247" w:type="dxa"/>
            <w:noWrap w:val="0"/>
            <w:vAlign w:val="center"/>
          </w:tcPr>
          <w:p w14:paraId="0EF626AA">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32823C77">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56C6D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1982A2E3">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16</w:t>
            </w:r>
          </w:p>
        </w:tc>
        <w:tc>
          <w:tcPr>
            <w:tcW w:w="1788" w:type="dxa"/>
            <w:noWrap w:val="0"/>
            <w:vAlign w:val="center"/>
          </w:tcPr>
          <w:p w14:paraId="0C2DFE1F">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安全帽</w:t>
            </w:r>
          </w:p>
        </w:tc>
        <w:tc>
          <w:tcPr>
            <w:tcW w:w="1242" w:type="dxa"/>
            <w:noWrap w:val="0"/>
            <w:vAlign w:val="center"/>
          </w:tcPr>
          <w:p w14:paraId="237FCFA3">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10顶</w:t>
            </w:r>
          </w:p>
        </w:tc>
        <w:tc>
          <w:tcPr>
            <w:tcW w:w="1955" w:type="dxa"/>
            <w:noWrap w:val="0"/>
            <w:vAlign w:val="center"/>
          </w:tcPr>
          <w:p w14:paraId="06AC0614">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应急物资储备仓库</w:t>
            </w:r>
          </w:p>
        </w:tc>
        <w:tc>
          <w:tcPr>
            <w:tcW w:w="1247" w:type="dxa"/>
            <w:noWrap w:val="0"/>
            <w:vAlign w:val="center"/>
          </w:tcPr>
          <w:p w14:paraId="002E6368">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4143CE07">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338CF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0917B000">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17</w:t>
            </w:r>
          </w:p>
        </w:tc>
        <w:tc>
          <w:tcPr>
            <w:tcW w:w="1788" w:type="dxa"/>
            <w:noWrap w:val="0"/>
            <w:vAlign w:val="center"/>
          </w:tcPr>
          <w:p w14:paraId="4EAE5F5B">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消防救援服黑色</w:t>
            </w:r>
          </w:p>
        </w:tc>
        <w:tc>
          <w:tcPr>
            <w:tcW w:w="1242" w:type="dxa"/>
            <w:noWrap w:val="0"/>
            <w:vAlign w:val="center"/>
          </w:tcPr>
          <w:p w14:paraId="3E556E38">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6套</w:t>
            </w:r>
          </w:p>
        </w:tc>
        <w:tc>
          <w:tcPr>
            <w:tcW w:w="1955" w:type="dxa"/>
            <w:noWrap w:val="0"/>
            <w:vAlign w:val="center"/>
          </w:tcPr>
          <w:p w14:paraId="71BB1FC2">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应急物资储备仓库</w:t>
            </w:r>
          </w:p>
        </w:tc>
        <w:tc>
          <w:tcPr>
            <w:tcW w:w="1247" w:type="dxa"/>
            <w:noWrap w:val="0"/>
            <w:vAlign w:val="center"/>
          </w:tcPr>
          <w:p w14:paraId="543838FD">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1302BCBA">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0FD40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0858D694">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18</w:t>
            </w:r>
          </w:p>
        </w:tc>
        <w:tc>
          <w:tcPr>
            <w:tcW w:w="1788" w:type="dxa"/>
            <w:noWrap w:val="0"/>
            <w:vAlign w:val="center"/>
          </w:tcPr>
          <w:p w14:paraId="1CB3D437">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干粉灭火器</w:t>
            </w:r>
          </w:p>
        </w:tc>
        <w:tc>
          <w:tcPr>
            <w:tcW w:w="1242" w:type="dxa"/>
            <w:noWrap w:val="0"/>
            <w:vAlign w:val="center"/>
          </w:tcPr>
          <w:p w14:paraId="1CF5764E">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24个</w:t>
            </w:r>
          </w:p>
        </w:tc>
        <w:tc>
          <w:tcPr>
            <w:tcW w:w="1955" w:type="dxa"/>
            <w:noWrap w:val="0"/>
            <w:vAlign w:val="center"/>
          </w:tcPr>
          <w:p w14:paraId="318973C6">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应急物资储备仓库</w:t>
            </w:r>
          </w:p>
        </w:tc>
        <w:tc>
          <w:tcPr>
            <w:tcW w:w="1247" w:type="dxa"/>
            <w:noWrap w:val="0"/>
            <w:vAlign w:val="center"/>
          </w:tcPr>
          <w:p w14:paraId="1B62A4C5">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744223BA">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64317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21DD0FF0">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19</w:t>
            </w:r>
          </w:p>
        </w:tc>
        <w:tc>
          <w:tcPr>
            <w:tcW w:w="1788" w:type="dxa"/>
            <w:noWrap w:val="0"/>
            <w:vAlign w:val="center"/>
          </w:tcPr>
          <w:p w14:paraId="42D64731">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扩音器</w:t>
            </w:r>
          </w:p>
        </w:tc>
        <w:tc>
          <w:tcPr>
            <w:tcW w:w="1242" w:type="dxa"/>
            <w:noWrap w:val="0"/>
            <w:vAlign w:val="center"/>
          </w:tcPr>
          <w:p w14:paraId="6DD0B00D">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6个</w:t>
            </w:r>
          </w:p>
        </w:tc>
        <w:tc>
          <w:tcPr>
            <w:tcW w:w="1955" w:type="dxa"/>
            <w:noWrap w:val="0"/>
            <w:vAlign w:val="center"/>
          </w:tcPr>
          <w:p w14:paraId="2D806964">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应急物资储备仓库</w:t>
            </w:r>
          </w:p>
        </w:tc>
        <w:tc>
          <w:tcPr>
            <w:tcW w:w="1247" w:type="dxa"/>
            <w:noWrap w:val="0"/>
            <w:vAlign w:val="center"/>
          </w:tcPr>
          <w:p w14:paraId="2B606251">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3C6C9388">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7EB72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3D15DE8D">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20</w:t>
            </w:r>
          </w:p>
        </w:tc>
        <w:tc>
          <w:tcPr>
            <w:tcW w:w="1788" w:type="dxa"/>
            <w:noWrap w:val="0"/>
            <w:vAlign w:val="center"/>
          </w:tcPr>
          <w:p w14:paraId="7B2F512C">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头灯</w:t>
            </w:r>
          </w:p>
        </w:tc>
        <w:tc>
          <w:tcPr>
            <w:tcW w:w="1242" w:type="dxa"/>
            <w:noWrap w:val="0"/>
            <w:vAlign w:val="center"/>
          </w:tcPr>
          <w:p w14:paraId="374F43B7">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10个</w:t>
            </w:r>
          </w:p>
        </w:tc>
        <w:tc>
          <w:tcPr>
            <w:tcW w:w="1955" w:type="dxa"/>
            <w:noWrap w:val="0"/>
            <w:vAlign w:val="center"/>
          </w:tcPr>
          <w:p w14:paraId="148E98C8">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应急物资储备仓库</w:t>
            </w:r>
          </w:p>
        </w:tc>
        <w:tc>
          <w:tcPr>
            <w:tcW w:w="1247" w:type="dxa"/>
            <w:noWrap w:val="0"/>
            <w:vAlign w:val="center"/>
          </w:tcPr>
          <w:p w14:paraId="797A4C51">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156020B5">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1339E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4A39E144">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21</w:t>
            </w:r>
          </w:p>
        </w:tc>
        <w:tc>
          <w:tcPr>
            <w:tcW w:w="1788" w:type="dxa"/>
            <w:noWrap w:val="0"/>
            <w:vAlign w:val="center"/>
          </w:tcPr>
          <w:p w14:paraId="0577600A">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手持电筒</w:t>
            </w:r>
          </w:p>
        </w:tc>
        <w:tc>
          <w:tcPr>
            <w:tcW w:w="1242" w:type="dxa"/>
            <w:noWrap w:val="0"/>
            <w:vAlign w:val="center"/>
          </w:tcPr>
          <w:p w14:paraId="3020BA05">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7个</w:t>
            </w:r>
          </w:p>
        </w:tc>
        <w:tc>
          <w:tcPr>
            <w:tcW w:w="1955" w:type="dxa"/>
            <w:noWrap w:val="0"/>
            <w:vAlign w:val="center"/>
          </w:tcPr>
          <w:p w14:paraId="40C082F8">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应急物资储备仓库</w:t>
            </w:r>
          </w:p>
        </w:tc>
        <w:tc>
          <w:tcPr>
            <w:tcW w:w="1247" w:type="dxa"/>
            <w:noWrap w:val="0"/>
            <w:vAlign w:val="center"/>
          </w:tcPr>
          <w:p w14:paraId="37B3A33E">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75CD10FE">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258C2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64C0D411">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22</w:t>
            </w:r>
          </w:p>
        </w:tc>
        <w:tc>
          <w:tcPr>
            <w:tcW w:w="1788" w:type="dxa"/>
            <w:noWrap w:val="0"/>
            <w:vAlign w:val="center"/>
          </w:tcPr>
          <w:p w14:paraId="5CA6D32F">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电筒</w:t>
            </w:r>
          </w:p>
        </w:tc>
        <w:tc>
          <w:tcPr>
            <w:tcW w:w="1242" w:type="dxa"/>
            <w:noWrap w:val="0"/>
            <w:vAlign w:val="center"/>
          </w:tcPr>
          <w:p w14:paraId="2F7DA5CA">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17个</w:t>
            </w:r>
          </w:p>
        </w:tc>
        <w:tc>
          <w:tcPr>
            <w:tcW w:w="1955" w:type="dxa"/>
            <w:noWrap w:val="0"/>
            <w:vAlign w:val="center"/>
          </w:tcPr>
          <w:p w14:paraId="626CAAEB">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应急物资储备仓库</w:t>
            </w:r>
          </w:p>
        </w:tc>
        <w:tc>
          <w:tcPr>
            <w:tcW w:w="1247" w:type="dxa"/>
            <w:noWrap w:val="0"/>
            <w:vAlign w:val="center"/>
          </w:tcPr>
          <w:p w14:paraId="576B3565">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69B36153">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0C7A2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5DAC35D4">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23</w:t>
            </w:r>
          </w:p>
        </w:tc>
        <w:tc>
          <w:tcPr>
            <w:tcW w:w="1788" w:type="dxa"/>
            <w:noWrap w:val="0"/>
            <w:vAlign w:val="center"/>
          </w:tcPr>
          <w:p w14:paraId="70C6E157">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照明灯</w:t>
            </w:r>
          </w:p>
        </w:tc>
        <w:tc>
          <w:tcPr>
            <w:tcW w:w="1242" w:type="dxa"/>
            <w:noWrap w:val="0"/>
            <w:vAlign w:val="center"/>
          </w:tcPr>
          <w:p w14:paraId="644A753A">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5个</w:t>
            </w:r>
          </w:p>
        </w:tc>
        <w:tc>
          <w:tcPr>
            <w:tcW w:w="1955" w:type="dxa"/>
            <w:noWrap w:val="0"/>
            <w:vAlign w:val="center"/>
          </w:tcPr>
          <w:p w14:paraId="763499D7">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应急物资储备仓库</w:t>
            </w:r>
          </w:p>
        </w:tc>
        <w:tc>
          <w:tcPr>
            <w:tcW w:w="1247" w:type="dxa"/>
            <w:noWrap w:val="0"/>
            <w:vAlign w:val="center"/>
          </w:tcPr>
          <w:p w14:paraId="05FFEFEB">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006B06A5">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3678B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6E8E5E72">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24</w:t>
            </w:r>
          </w:p>
        </w:tc>
        <w:tc>
          <w:tcPr>
            <w:tcW w:w="1788" w:type="dxa"/>
            <w:noWrap w:val="0"/>
            <w:vAlign w:val="center"/>
          </w:tcPr>
          <w:p w14:paraId="5D1DA684">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对讲机</w:t>
            </w:r>
          </w:p>
        </w:tc>
        <w:tc>
          <w:tcPr>
            <w:tcW w:w="1242" w:type="dxa"/>
            <w:noWrap w:val="0"/>
            <w:vAlign w:val="center"/>
          </w:tcPr>
          <w:p w14:paraId="08276862">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8个</w:t>
            </w:r>
          </w:p>
        </w:tc>
        <w:tc>
          <w:tcPr>
            <w:tcW w:w="1955" w:type="dxa"/>
            <w:noWrap w:val="0"/>
            <w:vAlign w:val="center"/>
          </w:tcPr>
          <w:p w14:paraId="461631EE">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应急物资储备仓库</w:t>
            </w:r>
          </w:p>
        </w:tc>
        <w:tc>
          <w:tcPr>
            <w:tcW w:w="1247" w:type="dxa"/>
            <w:noWrap w:val="0"/>
            <w:vAlign w:val="center"/>
          </w:tcPr>
          <w:p w14:paraId="2E6E7840">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78AEC7BF">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7035C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1FC7359D">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25</w:t>
            </w:r>
          </w:p>
        </w:tc>
        <w:tc>
          <w:tcPr>
            <w:tcW w:w="1788" w:type="dxa"/>
            <w:noWrap w:val="0"/>
            <w:vAlign w:val="center"/>
          </w:tcPr>
          <w:p w14:paraId="64D601CA">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警示带</w:t>
            </w:r>
          </w:p>
        </w:tc>
        <w:tc>
          <w:tcPr>
            <w:tcW w:w="1242" w:type="dxa"/>
            <w:noWrap w:val="0"/>
            <w:vAlign w:val="center"/>
          </w:tcPr>
          <w:p w14:paraId="7E568E1B">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7个</w:t>
            </w:r>
          </w:p>
        </w:tc>
        <w:tc>
          <w:tcPr>
            <w:tcW w:w="1955" w:type="dxa"/>
            <w:noWrap w:val="0"/>
            <w:vAlign w:val="center"/>
          </w:tcPr>
          <w:p w14:paraId="72244D21">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应急物资储备仓库</w:t>
            </w:r>
          </w:p>
        </w:tc>
        <w:tc>
          <w:tcPr>
            <w:tcW w:w="1247" w:type="dxa"/>
            <w:noWrap w:val="0"/>
            <w:vAlign w:val="center"/>
          </w:tcPr>
          <w:p w14:paraId="667E95A2">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2ABE73D5">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39B26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1E5CCFCA">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26</w:t>
            </w:r>
          </w:p>
        </w:tc>
        <w:tc>
          <w:tcPr>
            <w:tcW w:w="1788" w:type="dxa"/>
            <w:noWrap w:val="0"/>
            <w:vAlign w:val="center"/>
          </w:tcPr>
          <w:p w14:paraId="1DD85DBC">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口哨</w:t>
            </w:r>
          </w:p>
        </w:tc>
        <w:tc>
          <w:tcPr>
            <w:tcW w:w="1242" w:type="dxa"/>
            <w:noWrap w:val="0"/>
            <w:vAlign w:val="center"/>
          </w:tcPr>
          <w:p w14:paraId="79F5C464">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28个</w:t>
            </w:r>
          </w:p>
        </w:tc>
        <w:tc>
          <w:tcPr>
            <w:tcW w:w="1955" w:type="dxa"/>
            <w:noWrap w:val="0"/>
            <w:vAlign w:val="center"/>
          </w:tcPr>
          <w:p w14:paraId="6C4428EF">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应急物资储备仓库</w:t>
            </w:r>
          </w:p>
        </w:tc>
        <w:tc>
          <w:tcPr>
            <w:tcW w:w="1247" w:type="dxa"/>
            <w:noWrap w:val="0"/>
            <w:vAlign w:val="center"/>
          </w:tcPr>
          <w:p w14:paraId="294BF391">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3DB0571A">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3BE4B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775A98A5">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27</w:t>
            </w:r>
          </w:p>
        </w:tc>
        <w:tc>
          <w:tcPr>
            <w:tcW w:w="1788" w:type="dxa"/>
            <w:noWrap w:val="0"/>
            <w:vAlign w:val="center"/>
          </w:tcPr>
          <w:p w14:paraId="3DD9246B">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警示灯</w:t>
            </w:r>
          </w:p>
        </w:tc>
        <w:tc>
          <w:tcPr>
            <w:tcW w:w="1242" w:type="dxa"/>
            <w:noWrap w:val="0"/>
            <w:vAlign w:val="center"/>
          </w:tcPr>
          <w:p w14:paraId="7E454717">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3个</w:t>
            </w:r>
          </w:p>
        </w:tc>
        <w:tc>
          <w:tcPr>
            <w:tcW w:w="1955" w:type="dxa"/>
            <w:noWrap w:val="0"/>
            <w:vAlign w:val="center"/>
          </w:tcPr>
          <w:p w14:paraId="79971805">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应急物资储备仓库</w:t>
            </w:r>
          </w:p>
        </w:tc>
        <w:tc>
          <w:tcPr>
            <w:tcW w:w="1247" w:type="dxa"/>
            <w:noWrap w:val="0"/>
            <w:vAlign w:val="center"/>
          </w:tcPr>
          <w:p w14:paraId="35D4252A">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07B5897A">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4EA0D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198D11BC">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28</w:t>
            </w:r>
          </w:p>
        </w:tc>
        <w:tc>
          <w:tcPr>
            <w:tcW w:w="1788" w:type="dxa"/>
            <w:noWrap w:val="0"/>
            <w:vAlign w:val="center"/>
          </w:tcPr>
          <w:p w14:paraId="641A688A">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发电机</w:t>
            </w:r>
          </w:p>
        </w:tc>
        <w:tc>
          <w:tcPr>
            <w:tcW w:w="1242" w:type="dxa"/>
            <w:noWrap w:val="0"/>
            <w:vAlign w:val="center"/>
          </w:tcPr>
          <w:p w14:paraId="0AA05EE3">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2个</w:t>
            </w:r>
          </w:p>
        </w:tc>
        <w:tc>
          <w:tcPr>
            <w:tcW w:w="1955" w:type="dxa"/>
            <w:noWrap w:val="0"/>
            <w:vAlign w:val="center"/>
          </w:tcPr>
          <w:p w14:paraId="78A387E2">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应急物资储备仓库</w:t>
            </w:r>
          </w:p>
        </w:tc>
        <w:tc>
          <w:tcPr>
            <w:tcW w:w="1247" w:type="dxa"/>
            <w:noWrap w:val="0"/>
            <w:vAlign w:val="center"/>
          </w:tcPr>
          <w:p w14:paraId="5792C30F">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2E72D2A7">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2EEEC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1F12842D">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29</w:t>
            </w:r>
          </w:p>
        </w:tc>
        <w:tc>
          <w:tcPr>
            <w:tcW w:w="1788" w:type="dxa"/>
            <w:noWrap w:val="0"/>
            <w:vAlign w:val="center"/>
          </w:tcPr>
          <w:p w14:paraId="7B232A23">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雨鞋</w:t>
            </w:r>
          </w:p>
        </w:tc>
        <w:tc>
          <w:tcPr>
            <w:tcW w:w="1242" w:type="dxa"/>
            <w:noWrap w:val="0"/>
            <w:vAlign w:val="center"/>
          </w:tcPr>
          <w:p w14:paraId="03382349">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15双</w:t>
            </w:r>
          </w:p>
        </w:tc>
        <w:tc>
          <w:tcPr>
            <w:tcW w:w="1955" w:type="dxa"/>
            <w:noWrap w:val="0"/>
            <w:vAlign w:val="center"/>
          </w:tcPr>
          <w:p w14:paraId="19C89D55">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应急物资储备仓库</w:t>
            </w:r>
          </w:p>
        </w:tc>
        <w:tc>
          <w:tcPr>
            <w:tcW w:w="1247" w:type="dxa"/>
            <w:noWrap w:val="0"/>
            <w:vAlign w:val="center"/>
          </w:tcPr>
          <w:p w14:paraId="5AD7F7C1">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78A62A01">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00E1F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59B095A2">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30</w:t>
            </w:r>
          </w:p>
        </w:tc>
        <w:tc>
          <w:tcPr>
            <w:tcW w:w="1788" w:type="dxa"/>
            <w:noWrap w:val="0"/>
            <w:vAlign w:val="center"/>
          </w:tcPr>
          <w:p w14:paraId="48F9A52E">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雨衣</w:t>
            </w:r>
          </w:p>
        </w:tc>
        <w:tc>
          <w:tcPr>
            <w:tcW w:w="1242" w:type="dxa"/>
            <w:noWrap w:val="0"/>
            <w:vAlign w:val="center"/>
          </w:tcPr>
          <w:p w14:paraId="511F1A47">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28套</w:t>
            </w:r>
          </w:p>
        </w:tc>
        <w:tc>
          <w:tcPr>
            <w:tcW w:w="1955" w:type="dxa"/>
            <w:noWrap w:val="0"/>
            <w:vAlign w:val="center"/>
          </w:tcPr>
          <w:p w14:paraId="3F008CB9">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应急物资储备仓库</w:t>
            </w:r>
          </w:p>
        </w:tc>
        <w:tc>
          <w:tcPr>
            <w:tcW w:w="1247" w:type="dxa"/>
            <w:noWrap w:val="0"/>
            <w:vAlign w:val="center"/>
          </w:tcPr>
          <w:p w14:paraId="04D23BB8">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50212E29">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3588A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77445E89">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31</w:t>
            </w:r>
          </w:p>
        </w:tc>
        <w:tc>
          <w:tcPr>
            <w:tcW w:w="1788" w:type="dxa"/>
            <w:noWrap w:val="0"/>
            <w:vAlign w:val="center"/>
          </w:tcPr>
          <w:p w14:paraId="741902C5">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救生绳</w:t>
            </w:r>
          </w:p>
        </w:tc>
        <w:tc>
          <w:tcPr>
            <w:tcW w:w="1242" w:type="dxa"/>
            <w:noWrap w:val="0"/>
            <w:vAlign w:val="center"/>
          </w:tcPr>
          <w:p w14:paraId="59E11631">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15根</w:t>
            </w:r>
          </w:p>
        </w:tc>
        <w:tc>
          <w:tcPr>
            <w:tcW w:w="1955" w:type="dxa"/>
            <w:noWrap w:val="0"/>
            <w:vAlign w:val="center"/>
          </w:tcPr>
          <w:p w14:paraId="6727B76E">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应急物资储备仓库</w:t>
            </w:r>
          </w:p>
        </w:tc>
        <w:tc>
          <w:tcPr>
            <w:tcW w:w="1247" w:type="dxa"/>
            <w:noWrap w:val="0"/>
            <w:vAlign w:val="center"/>
          </w:tcPr>
          <w:p w14:paraId="0B5976E0">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66459B51">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0A019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3FB6D785">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32</w:t>
            </w:r>
          </w:p>
        </w:tc>
        <w:tc>
          <w:tcPr>
            <w:tcW w:w="1788" w:type="dxa"/>
            <w:noWrap w:val="0"/>
            <w:vAlign w:val="center"/>
          </w:tcPr>
          <w:p w14:paraId="0FEE0218">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救生衣</w:t>
            </w:r>
          </w:p>
        </w:tc>
        <w:tc>
          <w:tcPr>
            <w:tcW w:w="1242" w:type="dxa"/>
            <w:noWrap w:val="0"/>
            <w:vAlign w:val="center"/>
          </w:tcPr>
          <w:p w14:paraId="47FA8D66">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15套</w:t>
            </w:r>
          </w:p>
        </w:tc>
        <w:tc>
          <w:tcPr>
            <w:tcW w:w="1955" w:type="dxa"/>
            <w:noWrap w:val="0"/>
            <w:vAlign w:val="center"/>
          </w:tcPr>
          <w:p w14:paraId="0383EAE3">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应急物资储备仓库</w:t>
            </w:r>
          </w:p>
        </w:tc>
        <w:tc>
          <w:tcPr>
            <w:tcW w:w="1247" w:type="dxa"/>
            <w:noWrap w:val="0"/>
            <w:vAlign w:val="center"/>
          </w:tcPr>
          <w:p w14:paraId="6BD1522E">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16E6DA64">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28A3D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530BBA93">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33</w:t>
            </w:r>
          </w:p>
        </w:tc>
        <w:tc>
          <w:tcPr>
            <w:tcW w:w="1788" w:type="dxa"/>
            <w:noWrap w:val="0"/>
            <w:vAlign w:val="center"/>
          </w:tcPr>
          <w:p w14:paraId="24570F77">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救生圈</w:t>
            </w:r>
          </w:p>
        </w:tc>
        <w:tc>
          <w:tcPr>
            <w:tcW w:w="1242" w:type="dxa"/>
            <w:noWrap w:val="0"/>
            <w:vAlign w:val="center"/>
          </w:tcPr>
          <w:p w14:paraId="516E7880">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16个</w:t>
            </w:r>
          </w:p>
        </w:tc>
        <w:tc>
          <w:tcPr>
            <w:tcW w:w="1955" w:type="dxa"/>
            <w:noWrap w:val="0"/>
            <w:vAlign w:val="center"/>
          </w:tcPr>
          <w:p w14:paraId="339076B3">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应急物资储备仓库</w:t>
            </w:r>
          </w:p>
        </w:tc>
        <w:tc>
          <w:tcPr>
            <w:tcW w:w="1247" w:type="dxa"/>
            <w:noWrap w:val="0"/>
            <w:vAlign w:val="center"/>
          </w:tcPr>
          <w:p w14:paraId="2A907D43">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21BC50D8">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314F5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62D2777A">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34</w:t>
            </w:r>
          </w:p>
        </w:tc>
        <w:tc>
          <w:tcPr>
            <w:tcW w:w="1788" w:type="dxa"/>
            <w:noWrap w:val="0"/>
            <w:vAlign w:val="center"/>
          </w:tcPr>
          <w:p w14:paraId="53F20164">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防刺服</w:t>
            </w:r>
          </w:p>
        </w:tc>
        <w:tc>
          <w:tcPr>
            <w:tcW w:w="1242" w:type="dxa"/>
            <w:noWrap w:val="0"/>
            <w:vAlign w:val="center"/>
          </w:tcPr>
          <w:p w14:paraId="00427989">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10套</w:t>
            </w:r>
          </w:p>
        </w:tc>
        <w:tc>
          <w:tcPr>
            <w:tcW w:w="1955" w:type="dxa"/>
            <w:noWrap w:val="0"/>
            <w:vAlign w:val="center"/>
          </w:tcPr>
          <w:p w14:paraId="552025C1">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应急物资储备仓库</w:t>
            </w:r>
          </w:p>
        </w:tc>
        <w:tc>
          <w:tcPr>
            <w:tcW w:w="1247" w:type="dxa"/>
            <w:noWrap w:val="0"/>
            <w:vAlign w:val="center"/>
          </w:tcPr>
          <w:p w14:paraId="372432DC">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73D159E9">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1E0F1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4F3964B0">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35</w:t>
            </w:r>
          </w:p>
        </w:tc>
        <w:tc>
          <w:tcPr>
            <w:tcW w:w="1788" w:type="dxa"/>
            <w:noWrap w:val="0"/>
            <w:vAlign w:val="center"/>
          </w:tcPr>
          <w:p w14:paraId="1EBECABC">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防爆头盔</w:t>
            </w:r>
          </w:p>
        </w:tc>
        <w:tc>
          <w:tcPr>
            <w:tcW w:w="1242" w:type="dxa"/>
            <w:noWrap w:val="0"/>
            <w:vAlign w:val="center"/>
          </w:tcPr>
          <w:p w14:paraId="1502C667">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10顶</w:t>
            </w:r>
          </w:p>
        </w:tc>
        <w:tc>
          <w:tcPr>
            <w:tcW w:w="1955" w:type="dxa"/>
            <w:noWrap w:val="0"/>
            <w:vAlign w:val="center"/>
          </w:tcPr>
          <w:p w14:paraId="69821386">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应急物资储备仓库</w:t>
            </w:r>
          </w:p>
        </w:tc>
        <w:tc>
          <w:tcPr>
            <w:tcW w:w="1247" w:type="dxa"/>
            <w:noWrap w:val="0"/>
            <w:vAlign w:val="center"/>
          </w:tcPr>
          <w:p w14:paraId="7F8A59C3">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36B8D81B">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1CEF2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2C668CEC">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36</w:t>
            </w:r>
          </w:p>
        </w:tc>
        <w:tc>
          <w:tcPr>
            <w:tcW w:w="1788" w:type="dxa"/>
            <w:noWrap w:val="0"/>
            <w:vAlign w:val="center"/>
          </w:tcPr>
          <w:p w14:paraId="47DB8D6F">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防爆棍</w:t>
            </w:r>
          </w:p>
        </w:tc>
        <w:tc>
          <w:tcPr>
            <w:tcW w:w="1242" w:type="dxa"/>
            <w:noWrap w:val="0"/>
            <w:vAlign w:val="center"/>
          </w:tcPr>
          <w:p w14:paraId="79D1926E">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11根</w:t>
            </w:r>
          </w:p>
        </w:tc>
        <w:tc>
          <w:tcPr>
            <w:tcW w:w="1955" w:type="dxa"/>
            <w:noWrap w:val="0"/>
            <w:vAlign w:val="center"/>
          </w:tcPr>
          <w:p w14:paraId="27DDA679">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应急物资储备仓库</w:t>
            </w:r>
          </w:p>
        </w:tc>
        <w:tc>
          <w:tcPr>
            <w:tcW w:w="1247" w:type="dxa"/>
            <w:noWrap w:val="0"/>
            <w:vAlign w:val="center"/>
          </w:tcPr>
          <w:p w14:paraId="70FDAE46">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59C8B18E">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5DE5A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01B0BB0C">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37</w:t>
            </w:r>
          </w:p>
        </w:tc>
        <w:tc>
          <w:tcPr>
            <w:tcW w:w="1788" w:type="dxa"/>
            <w:noWrap w:val="0"/>
            <w:vAlign w:val="center"/>
          </w:tcPr>
          <w:p w14:paraId="1F1AEEA8">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防爆盾牌</w:t>
            </w:r>
          </w:p>
        </w:tc>
        <w:tc>
          <w:tcPr>
            <w:tcW w:w="1242" w:type="dxa"/>
            <w:noWrap w:val="0"/>
            <w:vAlign w:val="center"/>
          </w:tcPr>
          <w:p w14:paraId="18A3C8C0">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10个</w:t>
            </w:r>
          </w:p>
        </w:tc>
        <w:tc>
          <w:tcPr>
            <w:tcW w:w="1955" w:type="dxa"/>
            <w:noWrap w:val="0"/>
            <w:vAlign w:val="center"/>
          </w:tcPr>
          <w:p w14:paraId="16558BAF">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应急物资储备仓库</w:t>
            </w:r>
          </w:p>
        </w:tc>
        <w:tc>
          <w:tcPr>
            <w:tcW w:w="1247" w:type="dxa"/>
            <w:noWrap w:val="0"/>
            <w:vAlign w:val="center"/>
          </w:tcPr>
          <w:p w14:paraId="72192BDF">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3FCEE6C7">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2E5B2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645181E2">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38</w:t>
            </w:r>
          </w:p>
        </w:tc>
        <w:tc>
          <w:tcPr>
            <w:tcW w:w="1788" w:type="dxa"/>
            <w:noWrap w:val="0"/>
            <w:vAlign w:val="center"/>
          </w:tcPr>
          <w:p w14:paraId="66A1C843">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防蜂服</w:t>
            </w:r>
          </w:p>
        </w:tc>
        <w:tc>
          <w:tcPr>
            <w:tcW w:w="1242" w:type="dxa"/>
            <w:noWrap w:val="0"/>
            <w:vAlign w:val="center"/>
          </w:tcPr>
          <w:p w14:paraId="5A01E1BD">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2套</w:t>
            </w:r>
          </w:p>
        </w:tc>
        <w:tc>
          <w:tcPr>
            <w:tcW w:w="1955" w:type="dxa"/>
            <w:noWrap w:val="0"/>
            <w:vAlign w:val="center"/>
          </w:tcPr>
          <w:p w14:paraId="30EA8FA4">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应急物资储备仓库</w:t>
            </w:r>
          </w:p>
        </w:tc>
        <w:tc>
          <w:tcPr>
            <w:tcW w:w="1247" w:type="dxa"/>
            <w:noWrap w:val="0"/>
            <w:vAlign w:val="center"/>
          </w:tcPr>
          <w:p w14:paraId="6A0C4C1B">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39423162">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190E3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268A6BDE">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39</w:t>
            </w:r>
          </w:p>
        </w:tc>
        <w:tc>
          <w:tcPr>
            <w:tcW w:w="1788" w:type="dxa"/>
            <w:noWrap w:val="0"/>
            <w:vAlign w:val="center"/>
          </w:tcPr>
          <w:p w14:paraId="0D05AADA">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急救箱</w:t>
            </w:r>
          </w:p>
        </w:tc>
        <w:tc>
          <w:tcPr>
            <w:tcW w:w="1242" w:type="dxa"/>
            <w:noWrap w:val="0"/>
            <w:vAlign w:val="center"/>
          </w:tcPr>
          <w:p w14:paraId="1E4DB9DB">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2个</w:t>
            </w:r>
          </w:p>
        </w:tc>
        <w:tc>
          <w:tcPr>
            <w:tcW w:w="1955" w:type="dxa"/>
            <w:noWrap w:val="0"/>
            <w:vAlign w:val="center"/>
          </w:tcPr>
          <w:p w14:paraId="50B9AAB2">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应急物资储备仓库</w:t>
            </w:r>
          </w:p>
        </w:tc>
        <w:tc>
          <w:tcPr>
            <w:tcW w:w="1247" w:type="dxa"/>
            <w:noWrap w:val="0"/>
            <w:vAlign w:val="center"/>
          </w:tcPr>
          <w:p w14:paraId="3554F76E">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53F370C9">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7ACC9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3DEDDD08">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40</w:t>
            </w:r>
          </w:p>
        </w:tc>
        <w:tc>
          <w:tcPr>
            <w:tcW w:w="1788" w:type="dxa"/>
            <w:noWrap w:val="0"/>
            <w:vAlign w:val="center"/>
          </w:tcPr>
          <w:p w14:paraId="27F6B12D">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风力灭火机提式</w:t>
            </w:r>
          </w:p>
        </w:tc>
        <w:tc>
          <w:tcPr>
            <w:tcW w:w="1242" w:type="dxa"/>
            <w:noWrap w:val="0"/>
            <w:vAlign w:val="center"/>
          </w:tcPr>
          <w:p w14:paraId="1A828ACB">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3个</w:t>
            </w:r>
          </w:p>
        </w:tc>
        <w:tc>
          <w:tcPr>
            <w:tcW w:w="1955" w:type="dxa"/>
            <w:noWrap w:val="0"/>
            <w:vAlign w:val="center"/>
          </w:tcPr>
          <w:p w14:paraId="35996396">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应急物资储备仓库</w:t>
            </w:r>
          </w:p>
        </w:tc>
        <w:tc>
          <w:tcPr>
            <w:tcW w:w="1247" w:type="dxa"/>
            <w:noWrap w:val="0"/>
            <w:vAlign w:val="center"/>
          </w:tcPr>
          <w:p w14:paraId="5889C100">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3A9CB567">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5812B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12E45AFB">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41</w:t>
            </w:r>
          </w:p>
        </w:tc>
        <w:tc>
          <w:tcPr>
            <w:tcW w:w="1788" w:type="dxa"/>
            <w:noWrap w:val="0"/>
            <w:vAlign w:val="center"/>
          </w:tcPr>
          <w:p w14:paraId="10990844">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风力灭火机</w:t>
            </w:r>
          </w:p>
        </w:tc>
        <w:tc>
          <w:tcPr>
            <w:tcW w:w="1242" w:type="dxa"/>
            <w:noWrap w:val="0"/>
            <w:vAlign w:val="center"/>
          </w:tcPr>
          <w:p w14:paraId="45118F14">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2个</w:t>
            </w:r>
          </w:p>
        </w:tc>
        <w:tc>
          <w:tcPr>
            <w:tcW w:w="1955" w:type="dxa"/>
            <w:noWrap w:val="0"/>
            <w:vAlign w:val="center"/>
          </w:tcPr>
          <w:p w14:paraId="3B670376">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应急物资储备仓库</w:t>
            </w:r>
          </w:p>
        </w:tc>
        <w:tc>
          <w:tcPr>
            <w:tcW w:w="1247" w:type="dxa"/>
            <w:noWrap w:val="0"/>
            <w:vAlign w:val="center"/>
          </w:tcPr>
          <w:p w14:paraId="1EBC9765">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54E6B108">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3D3CC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0A711489">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42</w:t>
            </w:r>
          </w:p>
        </w:tc>
        <w:tc>
          <w:tcPr>
            <w:tcW w:w="1788" w:type="dxa"/>
            <w:noWrap w:val="0"/>
            <w:vAlign w:val="center"/>
          </w:tcPr>
          <w:p w14:paraId="79EB260F">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应急背心</w:t>
            </w:r>
          </w:p>
        </w:tc>
        <w:tc>
          <w:tcPr>
            <w:tcW w:w="1242" w:type="dxa"/>
            <w:noWrap w:val="0"/>
            <w:vAlign w:val="center"/>
          </w:tcPr>
          <w:p w14:paraId="39FF42E0">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40件</w:t>
            </w:r>
          </w:p>
        </w:tc>
        <w:tc>
          <w:tcPr>
            <w:tcW w:w="1955" w:type="dxa"/>
            <w:noWrap w:val="0"/>
            <w:vAlign w:val="center"/>
          </w:tcPr>
          <w:p w14:paraId="2D0E2997">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应急物资储备仓库</w:t>
            </w:r>
          </w:p>
        </w:tc>
        <w:tc>
          <w:tcPr>
            <w:tcW w:w="1247" w:type="dxa"/>
            <w:noWrap w:val="0"/>
            <w:vAlign w:val="center"/>
          </w:tcPr>
          <w:p w14:paraId="61FEC182">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0C9EA94B">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47EDD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440D1C4D">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43</w:t>
            </w:r>
          </w:p>
        </w:tc>
        <w:tc>
          <w:tcPr>
            <w:tcW w:w="1788" w:type="dxa"/>
            <w:noWrap w:val="0"/>
            <w:vAlign w:val="center"/>
          </w:tcPr>
          <w:p w14:paraId="5E6178A5">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破拆刀</w:t>
            </w:r>
          </w:p>
        </w:tc>
        <w:tc>
          <w:tcPr>
            <w:tcW w:w="1242" w:type="dxa"/>
            <w:noWrap w:val="0"/>
            <w:vAlign w:val="center"/>
          </w:tcPr>
          <w:p w14:paraId="69F643E2">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32把</w:t>
            </w:r>
          </w:p>
        </w:tc>
        <w:tc>
          <w:tcPr>
            <w:tcW w:w="1955" w:type="dxa"/>
            <w:noWrap w:val="0"/>
            <w:vAlign w:val="center"/>
          </w:tcPr>
          <w:p w14:paraId="0A60E130">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应急物资储备仓库</w:t>
            </w:r>
          </w:p>
        </w:tc>
        <w:tc>
          <w:tcPr>
            <w:tcW w:w="1247" w:type="dxa"/>
            <w:noWrap w:val="0"/>
            <w:vAlign w:val="center"/>
          </w:tcPr>
          <w:p w14:paraId="5E2ACF33">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1ABB82E2">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0C157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0F1B63FC">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44</w:t>
            </w:r>
          </w:p>
        </w:tc>
        <w:tc>
          <w:tcPr>
            <w:tcW w:w="1788" w:type="dxa"/>
            <w:noWrap w:val="0"/>
            <w:vAlign w:val="center"/>
          </w:tcPr>
          <w:p w14:paraId="598F5342">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油锯</w:t>
            </w:r>
          </w:p>
        </w:tc>
        <w:tc>
          <w:tcPr>
            <w:tcW w:w="1242" w:type="dxa"/>
            <w:noWrap w:val="0"/>
            <w:vAlign w:val="center"/>
          </w:tcPr>
          <w:p w14:paraId="7F7D9A54">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5把</w:t>
            </w:r>
          </w:p>
        </w:tc>
        <w:tc>
          <w:tcPr>
            <w:tcW w:w="1955" w:type="dxa"/>
            <w:noWrap w:val="0"/>
            <w:vAlign w:val="center"/>
          </w:tcPr>
          <w:p w14:paraId="58DC91E4">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应急物资储备仓库</w:t>
            </w:r>
          </w:p>
        </w:tc>
        <w:tc>
          <w:tcPr>
            <w:tcW w:w="1247" w:type="dxa"/>
            <w:noWrap w:val="0"/>
            <w:vAlign w:val="center"/>
          </w:tcPr>
          <w:p w14:paraId="4B182164">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181768D9">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0632B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2B25E19E">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45</w:t>
            </w:r>
          </w:p>
        </w:tc>
        <w:tc>
          <w:tcPr>
            <w:tcW w:w="1788" w:type="dxa"/>
            <w:noWrap w:val="0"/>
            <w:vAlign w:val="center"/>
          </w:tcPr>
          <w:p w14:paraId="17BB80EA">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森林灭火工具</w:t>
            </w:r>
          </w:p>
        </w:tc>
        <w:tc>
          <w:tcPr>
            <w:tcW w:w="1242" w:type="dxa"/>
            <w:noWrap w:val="0"/>
            <w:vAlign w:val="center"/>
          </w:tcPr>
          <w:p w14:paraId="62C74B4F">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6套</w:t>
            </w:r>
          </w:p>
        </w:tc>
        <w:tc>
          <w:tcPr>
            <w:tcW w:w="1955" w:type="dxa"/>
            <w:noWrap w:val="0"/>
            <w:vAlign w:val="center"/>
          </w:tcPr>
          <w:p w14:paraId="1C27E412">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应急物资储备仓库</w:t>
            </w:r>
          </w:p>
        </w:tc>
        <w:tc>
          <w:tcPr>
            <w:tcW w:w="1247" w:type="dxa"/>
            <w:noWrap w:val="0"/>
            <w:vAlign w:val="center"/>
          </w:tcPr>
          <w:p w14:paraId="436CB00E">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0C6C87B0">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47723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67F8BB96">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46</w:t>
            </w:r>
          </w:p>
        </w:tc>
        <w:tc>
          <w:tcPr>
            <w:tcW w:w="1788" w:type="dxa"/>
            <w:noWrap w:val="0"/>
            <w:vAlign w:val="center"/>
          </w:tcPr>
          <w:p w14:paraId="3DC5384D">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大军镐</w:t>
            </w:r>
          </w:p>
        </w:tc>
        <w:tc>
          <w:tcPr>
            <w:tcW w:w="1242" w:type="dxa"/>
            <w:noWrap w:val="0"/>
            <w:vAlign w:val="center"/>
          </w:tcPr>
          <w:p w14:paraId="37957517">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9把</w:t>
            </w:r>
          </w:p>
        </w:tc>
        <w:tc>
          <w:tcPr>
            <w:tcW w:w="1955" w:type="dxa"/>
            <w:noWrap w:val="0"/>
            <w:vAlign w:val="center"/>
          </w:tcPr>
          <w:p w14:paraId="5D81FEAA">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应急物资储备仓库</w:t>
            </w:r>
          </w:p>
        </w:tc>
        <w:tc>
          <w:tcPr>
            <w:tcW w:w="1247" w:type="dxa"/>
            <w:noWrap w:val="0"/>
            <w:vAlign w:val="center"/>
          </w:tcPr>
          <w:p w14:paraId="483B247D">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04AF2587">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72343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14C1BFE5">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47</w:t>
            </w:r>
          </w:p>
        </w:tc>
        <w:tc>
          <w:tcPr>
            <w:tcW w:w="1788" w:type="dxa"/>
            <w:noWrap w:val="0"/>
            <w:vAlign w:val="center"/>
          </w:tcPr>
          <w:p w14:paraId="045416F1">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铁扫把</w:t>
            </w:r>
          </w:p>
        </w:tc>
        <w:tc>
          <w:tcPr>
            <w:tcW w:w="1242" w:type="dxa"/>
            <w:noWrap w:val="0"/>
            <w:vAlign w:val="center"/>
          </w:tcPr>
          <w:p w14:paraId="62CAFFEF">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70把</w:t>
            </w:r>
          </w:p>
        </w:tc>
        <w:tc>
          <w:tcPr>
            <w:tcW w:w="1955" w:type="dxa"/>
            <w:noWrap w:val="0"/>
            <w:vAlign w:val="center"/>
          </w:tcPr>
          <w:p w14:paraId="7985FA29">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应急物资储备仓库</w:t>
            </w:r>
          </w:p>
        </w:tc>
        <w:tc>
          <w:tcPr>
            <w:tcW w:w="1247" w:type="dxa"/>
            <w:noWrap w:val="0"/>
            <w:vAlign w:val="center"/>
          </w:tcPr>
          <w:p w14:paraId="22D3508F">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1B32F04F">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769F3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38E6055F">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48</w:t>
            </w:r>
          </w:p>
        </w:tc>
        <w:tc>
          <w:tcPr>
            <w:tcW w:w="1788" w:type="dxa"/>
            <w:noWrap w:val="0"/>
            <w:vAlign w:val="center"/>
          </w:tcPr>
          <w:p w14:paraId="21A36171">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铜锣</w:t>
            </w:r>
          </w:p>
        </w:tc>
        <w:tc>
          <w:tcPr>
            <w:tcW w:w="1242" w:type="dxa"/>
            <w:noWrap w:val="0"/>
            <w:vAlign w:val="center"/>
          </w:tcPr>
          <w:p w14:paraId="44F946C7">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11个</w:t>
            </w:r>
          </w:p>
        </w:tc>
        <w:tc>
          <w:tcPr>
            <w:tcW w:w="1955" w:type="dxa"/>
            <w:noWrap w:val="0"/>
            <w:vAlign w:val="center"/>
          </w:tcPr>
          <w:p w14:paraId="0AF51DCE">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应急物资储备仓库</w:t>
            </w:r>
          </w:p>
        </w:tc>
        <w:tc>
          <w:tcPr>
            <w:tcW w:w="1247" w:type="dxa"/>
            <w:noWrap w:val="0"/>
            <w:vAlign w:val="center"/>
          </w:tcPr>
          <w:p w14:paraId="68BCF2B7">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7420AA35">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10679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5F71AD0C">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49</w:t>
            </w:r>
          </w:p>
        </w:tc>
        <w:tc>
          <w:tcPr>
            <w:tcW w:w="1788" w:type="dxa"/>
            <w:noWrap w:val="0"/>
            <w:vAlign w:val="center"/>
          </w:tcPr>
          <w:p w14:paraId="41AA4148">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铁锹</w:t>
            </w:r>
          </w:p>
        </w:tc>
        <w:tc>
          <w:tcPr>
            <w:tcW w:w="1242" w:type="dxa"/>
            <w:noWrap w:val="0"/>
            <w:vAlign w:val="center"/>
          </w:tcPr>
          <w:p w14:paraId="42D31FC1">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21把</w:t>
            </w:r>
          </w:p>
        </w:tc>
        <w:tc>
          <w:tcPr>
            <w:tcW w:w="1955" w:type="dxa"/>
            <w:noWrap w:val="0"/>
            <w:vAlign w:val="center"/>
          </w:tcPr>
          <w:p w14:paraId="10D2EFF3">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应急物资储备仓库</w:t>
            </w:r>
          </w:p>
        </w:tc>
        <w:tc>
          <w:tcPr>
            <w:tcW w:w="1247" w:type="dxa"/>
            <w:noWrap w:val="0"/>
            <w:vAlign w:val="center"/>
          </w:tcPr>
          <w:p w14:paraId="5A9DDE2C">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5B1F83EF">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r w14:paraId="418C9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37306B01">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50</w:t>
            </w:r>
          </w:p>
        </w:tc>
        <w:tc>
          <w:tcPr>
            <w:tcW w:w="1788" w:type="dxa"/>
            <w:noWrap w:val="0"/>
            <w:vAlign w:val="center"/>
          </w:tcPr>
          <w:p w14:paraId="0F5BBC9A">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消防腰带</w:t>
            </w:r>
          </w:p>
        </w:tc>
        <w:tc>
          <w:tcPr>
            <w:tcW w:w="1242" w:type="dxa"/>
            <w:noWrap w:val="0"/>
            <w:vAlign w:val="center"/>
          </w:tcPr>
          <w:p w14:paraId="5AB83579">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10条</w:t>
            </w:r>
          </w:p>
        </w:tc>
        <w:tc>
          <w:tcPr>
            <w:tcW w:w="1955" w:type="dxa"/>
            <w:noWrap w:val="0"/>
            <w:vAlign w:val="center"/>
          </w:tcPr>
          <w:p w14:paraId="2D5193D2">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应急物资储备仓库</w:t>
            </w:r>
          </w:p>
        </w:tc>
        <w:tc>
          <w:tcPr>
            <w:tcW w:w="1247" w:type="dxa"/>
            <w:noWrap w:val="0"/>
            <w:vAlign w:val="center"/>
          </w:tcPr>
          <w:p w14:paraId="66A53401">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张艳</w:t>
            </w:r>
          </w:p>
        </w:tc>
        <w:tc>
          <w:tcPr>
            <w:tcW w:w="1738" w:type="dxa"/>
            <w:noWrap w:val="0"/>
            <w:vAlign w:val="center"/>
          </w:tcPr>
          <w:p w14:paraId="78D9D9DC">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sz w:val="21"/>
                <w:szCs w:val="21"/>
                <w:lang w:val="en-US" w:eastAsia="zh-CN"/>
              </w:rPr>
              <w:t>13062336110</w:t>
            </w:r>
          </w:p>
        </w:tc>
      </w:tr>
    </w:tbl>
    <w:p w14:paraId="3A3B33D0">
      <w:pPr>
        <w:rPr>
          <w:rFonts w:hint="eastAsia" w:ascii="宋体" w:hAnsi="宋体" w:eastAsia="宋体" w:cs="宋体"/>
          <w:sz w:val="24"/>
          <w:szCs w:val="24"/>
        </w:rPr>
      </w:pPr>
    </w:p>
    <w:p w14:paraId="3D52C4B7">
      <w:pPr>
        <w:keepNext w:val="0"/>
        <w:keepLines w:val="0"/>
        <w:pageBreakBefore w:val="0"/>
        <w:widowControl w:val="0"/>
        <w:kinsoku/>
        <w:wordWrap/>
        <w:overflowPunct/>
        <w:topLinePunct w:val="0"/>
        <w:autoSpaceDE w:val="0"/>
        <w:autoSpaceDN w:val="0"/>
        <w:bidi w:val="0"/>
        <w:adjustRightInd/>
        <w:snapToGrid/>
        <w:spacing w:line="360" w:lineRule="auto"/>
        <w:textAlignment w:val="auto"/>
        <w:outlineLvl w:val="1"/>
        <w:rPr>
          <w:rFonts w:hint="default" w:ascii="宋体" w:hAnsi="宋体" w:eastAsia="宋体" w:cs="宋体"/>
          <w:sz w:val="21"/>
          <w:szCs w:val="21"/>
          <w:lang w:val="en-US" w:eastAsia="zh-CN"/>
        </w:rPr>
      </w:pPr>
      <w:r>
        <w:rPr>
          <w:rFonts w:hint="eastAsia" w:ascii="宋体" w:hAnsi="宋体" w:eastAsia="宋体" w:cs="宋体"/>
          <w:sz w:val="21"/>
          <w:szCs w:val="21"/>
        </w:rPr>
        <w:br w:type="page"/>
      </w:r>
      <w:r>
        <w:rPr>
          <w:rFonts w:hint="eastAsia" w:cs="宋体"/>
          <w:b/>
          <w:bCs/>
          <w:color w:val="auto"/>
          <w:sz w:val="28"/>
          <w:szCs w:val="28"/>
          <w:lang w:val="en-US" w:eastAsia="zh-CN"/>
        </w:rPr>
        <w:t>附件3：开州区应急物资储备情况</w:t>
      </w:r>
    </w:p>
    <w:p w14:paraId="2E0CF60D">
      <w:pPr>
        <w:pStyle w:val="4"/>
        <w:spacing w:before="156" w:beforeLines="50" w:after="156" w:afterLines="50"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 xml:space="preserve">  开州区生态环境局应急物资储备情况</w:t>
      </w:r>
    </w:p>
    <w:tbl>
      <w:tblPr>
        <w:tblStyle w:val="16"/>
        <w:tblW w:w="0" w:type="auto"/>
        <w:tblInd w:w="0" w:type="dxa"/>
        <w:tblLayout w:type="fixed"/>
        <w:tblCellMar>
          <w:top w:w="0" w:type="dxa"/>
          <w:left w:w="0" w:type="dxa"/>
          <w:bottom w:w="0" w:type="dxa"/>
          <w:right w:w="0" w:type="dxa"/>
        </w:tblCellMar>
      </w:tblPr>
      <w:tblGrid>
        <w:gridCol w:w="339"/>
        <w:gridCol w:w="1599"/>
        <w:gridCol w:w="1519"/>
        <w:gridCol w:w="1223"/>
        <w:gridCol w:w="503"/>
        <w:gridCol w:w="478"/>
        <w:gridCol w:w="886"/>
        <w:gridCol w:w="853"/>
        <w:gridCol w:w="930"/>
      </w:tblGrid>
      <w:tr w14:paraId="4910CD32">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E539A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序号</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E127E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产品名称</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79EFA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物资类别</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E4EA2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规格型号</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1FCC7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数量</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71FA6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单位</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B9B12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存放地点</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E7A5C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使用状况</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6A7BD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管理部门</w:t>
            </w:r>
          </w:p>
        </w:tc>
      </w:tr>
      <w:tr w14:paraId="7856664A">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F1F8D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2BA0A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GPS定位仪</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1E35C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其他</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17F95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G120</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BF287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AE85C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F642A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BCFE3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F18E8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1419FCE0">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6496F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92F78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激光测距望远镜</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CE8AC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其他</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BD65D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1400A</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DD421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9258D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9D560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6D505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04FBD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031663C0">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2317B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E12C2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对讲机</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43DB6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其他</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D2672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GP328</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24F1C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6</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60233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对</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D8171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9643A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2C2E2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569D9CB9">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72F7A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949F0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应急录音设备</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5A85D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其他</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FC7FC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5505</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166D7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AE80B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1DA38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56C55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15914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36631680">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05601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86378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应急现场工作服</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A4A84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个人防护设备器材</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9359F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RD96-T</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BB09C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74097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套</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F0700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75C4A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3173A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20D5E607">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53243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6</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B90E6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液体化学防护服</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EC15E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个人防护设备器材</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E62C0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FH-2NP</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74038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C9AE9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套</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6DF08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9CF2A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25999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17E83AD0">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F2E76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7</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E9A95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气体化学防护服</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53DCF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个人防护设备器材</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25A65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FH-3NP</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7C688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19FB8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套</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690F7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915D0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37E69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5AD91025">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CCFA4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8</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45C4B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易燃易爆气体报警</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153C7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应急监测设备</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4B052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SLT-606</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CD0C9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8DC21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C0C9C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298FD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6FBE9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50FA1BF4">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23B97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9</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C5347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有毒有害气体报警装置</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5E0F3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应急监测设备</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0507B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SLT-900</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573DE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83435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50D62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F97EA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095A0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2DA4AE3B">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558F1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10</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76722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辐射报警装置</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BB41C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应急监测设备</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21215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SLT-900</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CE6C3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A3D4A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82AEB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F11A6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C0C26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4C1A9BE3">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AF91E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11</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42C9D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医用急救箱</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6DFE4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其他</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0B954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18村铝合金</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29A05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7D0B7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箱</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065EA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5145E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CE069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2014FC75">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6A394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12</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4F42D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应急供电、照明设备</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EBFF6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02067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MT1000S</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BF987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B0691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套</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E6974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A2A62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C0244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20594BD1">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9DA5F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13</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24DC3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睡袋</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96BEC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723B4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CM-040</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891C0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709C5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个</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8505F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234E5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62085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4077877B">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1A739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14</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DDE06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帐篷</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D322A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50367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CS070</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FB9C3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36698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个</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F6750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B5CEA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88830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0105D996">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67031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15</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4C3A9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执法记录仪</w:t>
            </w:r>
          </w:p>
        </w:tc>
        <w:tc>
          <w:tcPr>
            <w:tcW w:w="151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0C8E998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其他</w:t>
            </w:r>
          </w:p>
        </w:tc>
        <w:tc>
          <w:tcPr>
            <w:tcW w:w="1223"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116E310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DSJ-A3</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E8B81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C0EB1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59B2B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ABF8B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5164B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732BB43D">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F3BDB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16</w:t>
            </w:r>
          </w:p>
        </w:tc>
        <w:tc>
          <w:tcPr>
            <w:tcW w:w="1599" w:type="dxa"/>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14:paraId="746512A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台式电脑</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2C347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其他</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817C72">
            <w:pPr>
              <w:jc w:val="center"/>
              <w:rPr>
                <w:rFonts w:hint="eastAsia" w:ascii="宋体" w:hAnsi="宋体" w:cs="宋体"/>
                <w:color w:val="000000"/>
                <w:sz w:val="18"/>
                <w:szCs w:val="18"/>
              </w:rPr>
            </w:pPr>
          </w:p>
        </w:tc>
        <w:tc>
          <w:tcPr>
            <w:tcW w:w="503"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0E28FF7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BA6F5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247CB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F47A5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8ACA8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36B59C65">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7DD55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17</w:t>
            </w:r>
          </w:p>
        </w:tc>
        <w:tc>
          <w:tcPr>
            <w:tcW w:w="1599" w:type="dxa"/>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14:paraId="7DFCA7E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应急车辆及辅助设备</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16352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其他</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43FF7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本田</w:t>
            </w:r>
          </w:p>
        </w:tc>
        <w:tc>
          <w:tcPr>
            <w:tcW w:w="503"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0506D6C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2F113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辆</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182C2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4E957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746E6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32FAE411">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ABB0B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18</w:t>
            </w:r>
          </w:p>
        </w:tc>
        <w:tc>
          <w:tcPr>
            <w:tcW w:w="1599" w:type="dxa"/>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14:paraId="10D8F5C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固定电话</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8F3C6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其他</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3B9666">
            <w:pPr>
              <w:jc w:val="center"/>
              <w:rPr>
                <w:rFonts w:hint="eastAsia" w:ascii="宋体" w:hAnsi="宋体" w:cs="宋体"/>
                <w:color w:val="000000"/>
                <w:sz w:val="18"/>
                <w:szCs w:val="18"/>
              </w:rPr>
            </w:pPr>
          </w:p>
        </w:tc>
        <w:tc>
          <w:tcPr>
            <w:tcW w:w="503"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68B8961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2CD2F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部</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3E465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D1230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86D46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0627A4F7">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54971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19</w:t>
            </w:r>
          </w:p>
        </w:tc>
        <w:tc>
          <w:tcPr>
            <w:tcW w:w="1599" w:type="dxa"/>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14:paraId="084BAC4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打印机</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E7A26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其他</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00186A">
            <w:pPr>
              <w:jc w:val="center"/>
              <w:rPr>
                <w:rFonts w:hint="eastAsia" w:ascii="宋体" w:hAnsi="宋体" w:cs="宋体"/>
                <w:color w:val="000000"/>
                <w:sz w:val="18"/>
                <w:szCs w:val="18"/>
              </w:rPr>
            </w:pPr>
          </w:p>
        </w:tc>
        <w:tc>
          <w:tcPr>
            <w:tcW w:w="503"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10185CB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79BC2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FEB24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09738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7B60B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5645ACC3">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75A6F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CED4F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传真机</w:t>
            </w:r>
          </w:p>
        </w:tc>
        <w:tc>
          <w:tcPr>
            <w:tcW w:w="1519"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14:paraId="14CF176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其他</w:t>
            </w:r>
          </w:p>
        </w:tc>
        <w:tc>
          <w:tcPr>
            <w:tcW w:w="1223"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14:paraId="2D641481">
            <w:pPr>
              <w:jc w:val="center"/>
              <w:rPr>
                <w:rFonts w:hint="eastAsia" w:ascii="宋体" w:hAnsi="宋体" w:cs="宋体"/>
                <w:color w:val="000000"/>
                <w:sz w:val="18"/>
                <w:szCs w:val="18"/>
              </w:rPr>
            </w:pP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83058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3C618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3F9C4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31C4F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63E8E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0DA81E37">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1FAE3FF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21</w:t>
            </w:r>
          </w:p>
        </w:tc>
        <w:tc>
          <w:tcPr>
            <w:tcW w:w="159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65B1138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摄像机</w:t>
            </w:r>
          </w:p>
        </w:tc>
        <w:tc>
          <w:tcPr>
            <w:tcW w:w="151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529BF1C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其他</w:t>
            </w:r>
          </w:p>
        </w:tc>
        <w:tc>
          <w:tcPr>
            <w:tcW w:w="1223"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0FBB3A5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佳能</w:t>
            </w:r>
          </w:p>
        </w:tc>
        <w:tc>
          <w:tcPr>
            <w:tcW w:w="503"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3ABA787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w:t>
            </w:r>
          </w:p>
        </w:tc>
        <w:tc>
          <w:tcPr>
            <w:tcW w:w="478"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31DBD79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DBC16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CC45D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6CB0C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627E685C">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0ED73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22</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A07BE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防爆摄像机</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85022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其他</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35935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Exdv1301</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FAF86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72DB6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903F1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3B594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6ED6E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6B2528AA">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1DC8D02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23</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426C9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防爆照相机</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EF664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其他</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221DF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Excam1201</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4BD16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51B2C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74AB4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85AB4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3052F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5702F6CE">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E85A8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24</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7DA74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防爆对讲机</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23717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其他</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8D429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PT7200 Ex</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91847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6</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4CB50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4BC4D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027D4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E7240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2B5ACD5E">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28A739F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25</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56CB0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移动便携式打印机</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03C38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其他</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AC31A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Officejet 150 mobile</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B275D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A435C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7DC6A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3EA08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CB6A1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1D661B32">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4629D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26</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819BF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便携式柴油发电机</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C8E5C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EDBAD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KDF4000XE</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CADF5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83385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D8CCE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FC2E3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50E81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278AF092">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59E8B21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27</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E067F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防爆抽油泵</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88D3A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993C4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50CYZ-60</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D0E8A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5CD8C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40365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0C9B1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6676A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3EDAB19B">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5B2DC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28</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07A1A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水泵</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3564E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796D7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50WQ20-33-5.5</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E8CB9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1EDA3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E5E97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DD860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CB179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1A003EBC">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1D6D6F1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29</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26682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吸油毡</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1D70A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512B5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PP-1/PP-2</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2D97A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10</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C0B3A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包</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F6838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A1A4D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38A7C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7D3CCAD1">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1F2DB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30</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10D5B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吸油棉</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0D62B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BD0C5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OP002-B</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8745A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6120A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箱</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86599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9C482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05308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0C961153">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1F2B316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31</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11780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黄色吸油吸液棉</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90379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626EF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HOP004</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4BC74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0535D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箱</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C94CC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1D660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3CBE3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6F944076">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80586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32</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0BD8D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吸油卷</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EDB06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EFFEF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OR004</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27429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10</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B926D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卷</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A95FC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F5798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04444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6A059296">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05B7648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33</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96177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吸油索</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50318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10474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OS20*3</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EDCE9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D372C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包</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CEA9E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89EE7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082DB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4910B218">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04414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34</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FF4B0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吸油片</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AA9EA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7A81E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OP002</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41CB5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5D322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箱</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3025C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278C3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CD93A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3D40E120">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245E296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35</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9262D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PVC围油栏</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D05C9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堵漏、收集器材/设备</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1E82C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PVC1500</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E000F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8F547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节</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18F53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F6D82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11F60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2643F570">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1554A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36</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D1977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消防水龙带</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AB854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消防设施</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54AC5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13-100-25</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9BFC5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68464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节</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D4F61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353EE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CF43E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28C41A13">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612A731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37</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2E282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抽油管</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CDB27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消防设施</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661BF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PVC</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395C1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FE559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件</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8B2B0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5F502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63DC5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7D65DAF2">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69C21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38</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EC84E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防护手套</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E3D9E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个人防护设备器材</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F6E88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辉安工业手套</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A7D14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58E38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箱</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6129C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C1975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8E78D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381F7863">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4E00B1B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39</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EDA69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耐高温手套</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12933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个人防护设备器材</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9E05B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LC-S59</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14D25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10</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72FB6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双</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8C99B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F1F4A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59E53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3493880B">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6519B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40</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2F946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消油剂</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E7152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8226A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700</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C44E1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0A51D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桶</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8694A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E49C4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A2EAA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627169D7">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1C82FC5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41</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13205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化学品泄露应急包</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473D1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6AE7B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YJB-001</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6E20E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0D654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包</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F932F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F5F8F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2271C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650C6489">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0B743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42</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9EC53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编织袋</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14824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00B8F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90X130</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E6749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100</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98283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个</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82E70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23A90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F6FEC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38812C56">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41F2E44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43</w:t>
            </w:r>
          </w:p>
        </w:tc>
        <w:tc>
          <w:tcPr>
            <w:tcW w:w="159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00E6261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铁锹</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DC4EA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应急救援物资</w:t>
            </w:r>
          </w:p>
        </w:tc>
        <w:tc>
          <w:tcPr>
            <w:tcW w:w="1223"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6F5F7F4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1626</w:t>
            </w:r>
          </w:p>
        </w:tc>
        <w:tc>
          <w:tcPr>
            <w:tcW w:w="503"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31295EE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w:t>
            </w:r>
          </w:p>
        </w:tc>
        <w:tc>
          <w:tcPr>
            <w:tcW w:w="478"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5189390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把</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CAA98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13889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48863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7EA9F452">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FA5C2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44</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B794E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十字铁镐</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05F5B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BD703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G102</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0601B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C83E1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把</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D75F2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843FC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AB6F1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2B3504C7">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53B54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45</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EE478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撬棍</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0F36E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6F970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1200X20</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5AE7F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BD23F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把</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0C4A0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1E496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F0198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775A1AD9">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76156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46</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1E14D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安全带</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19321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个人防护设备器材</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7741B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YH-7009</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9804E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C39A0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把</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4E8E4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35D0F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01A59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r w14:paraId="6B166F0D">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F7FEA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47</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5A454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防毒面罩</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B8E50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个人防护设备器材</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900C5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6200</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36F7A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4DDF6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套</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110A6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6EC5B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8C140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区应急管理中心</w:t>
            </w:r>
          </w:p>
        </w:tc>
      </w:tr>
    </w:tbl>
    <w:p w14:paraId="4301E0CD">
      <w:pPr>
        <w:pStyle w:val="13"/>
        <w:ind w:firstLine="482"/>
        <w:rPr>
          <w:sz w:val="24"/>
          <w:szCs w:val="24"/>
        </w:rPr>
        <w:sectPr>
          <w:pgSz w:w="11906" w:h="16838"/>
          <w:pgMar w:top="1440" w:right="1803" w:bottom="1440" w:left="1803" w:header="851" w:footer="992" w:gutter="0"/>
          <w:pgNumType w:fmt="decimal"/>
          <w:cols w:space="720" w:num="1"/>
          <w:docGrid w:type="lines" w:linePitch="312" w:charSpace="0"/>
        </w:sectPr>
      </w:pPr>
    </w:p>
    <w:p w14:paraId="663781E5">
      <w:pPr>
        <w:pStyle w:val="4"/>
        <w:spacing w:before="156" w:beforeLines="50" w:after="156" w:afterLines="50" w:line="360" w:lineRule="auto"/>
        <w:jc w:val="left"/>
        <w:rPr>
          <w:rFonts w:hint="eastAsia" w:ascii="Times New Roman" w:hAnsi="Times New Roman" w:eastAsia="宋体"/>
          <w:sz w:val="24"/>
          <w:szCs w:val="24"/>
        </w:rPr>
        <w:sectPr>
          <w:pgSz w:w="11906" w:h="16838"/>
          <w:pgMar w:top="1440" w:right="1803" w:bottom="1440" w:left="1803" w:header="851" w:footer="992" w:gutter="0"/>
          <w:pgNumType w:fmt="decimal"/>
          <w:cols w:space="720" w:num="1"/>
          <w:docGrid w:type="lines" w:linePitch="312" w:charSpace="0"/>
        </w:sectPr>
      </w:pPr>
      <w:bookmarkStart w:id="174" w:name="_Toc30059"/>
      <w:r>
        <w:rPr>
          <w:rFonts w:hint="eastAsia" w:cs="宋体" w:asciiTheme="minorHAnsi" w:hAnsiTheme="minorHAnsi" w:eastAsiaTheme="minorEastAsia"/>
          <w:b/>
          <w:bCs/>
          <w:color w:val="auto"/>
          <w:kern w:val="2"/>
          <w:sz w:val="28"/>
          <w:szCs w:val="28"/>
          <w:lang w:val="en-US" w:eastAsia="zh-CN" w:bidi="ar-SA"/>
        </w:rPr>
        <mc:AlternateContent>
          <mc:Choice Requires="wps">
            <w:drawing>
              <wp:anchor distT="0" distB="0" distL="114300" distR="114300" simplePos="0" relativeHeight="251676672" behindDoc="0" locked="0" layoutInCell="1" allowOverlap="1">
                <wp:simplePos x="0" y="0"/>
                <wp:positionH relativeFrom="column">
                  <wp:posOffset>723265</wp:posOffset>
                </wp:positionH>
                <wp:positionV relativeFrom="paragraph">
                  <wp:posOffset>5645785</wp:posOffset>
                </wp:positionV>
                <wp:extent cx="216535" cy="206375"/>
                <wp:effectExtent l="24130" t="26035" r="26035" b="34290"/>
                <wp:wrapNone/>
                <wp:docPr id="3" name="五角星 3"/>
                <wp:cNvGraphicFramePr/>
                <a:graphic xmlns:a="http://schemas.openxmlformats.org/drawingml/2006/main">
                  <a:graphicData uri="http://schemas.microsoft.com/office/word/2010/wordprocessingShape">
                    <wps:wsp>
                      <wps:cNvSpPr/>
                      <wps:spPr>
                        <a:xfrm>
                          <a:off x="0" y="0"/>
                          <a:ext cx="216535" cy="206375"/>
                        </a:xfrm>
                        <a:prstGeom prst="star5">
                          <a:avLst/>
                        </a:prstGeom>
                        <a:solidFill>
                          <a:srgbClr val="FF0000"/>
                        </a:solidFill>
                        <a:ln w="15875" cap="flat" cmpd="sng">
                          <a:solidFill>
                            <a:srgbClr val="FF0000"/>
                          </a:solidFill>
                          <a:prstDash val="solid"/>
                          <a:miter/>
                          <a:headEnd type="none" w="med" len="med"/>
                          <a:tailEnd type="none" w="med" len="med"/>
                        </a:ln>
                      </wps:spPr>
                      <wps:txbx>
                        <w:txbxContent>
                          <w:p w14:paraId="30E06C04"/>
                        </w:txbxContent>
                      </wps:txbx>
                      <wps:bodyPr upright="1"/>
                    </wps:wsp>
                  </a:graphicData>
                </a:graphic>
              </wp:anchor>
            </w:drawing>
          </mc:Choice>
          <mc:Fallback>
            <w:pict>
              <v:shape id="_x0000_s1026" o:spid="_x0000_s1026" style="position:absolute;left:0pt;margin-left:56.95pt;margin-top:444.55pt;height:16.25pt;width:17.05pt;z-index:251676672;mso-width-relative:page;mso-height-relative:page;" fillcolor="#FF0000" filled="t" stroked="t" coordsize="216535,206375" o:gfxdata="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N+oxyNoAAAALAQAADwAAAAAAAAABACAAAAAiAAAA&#10;ZHJzL2Rvd25yZXYueG1sUEsBAhQAFAAAAAgAh07iQDWx/e0FAgAALQQAAA4AAAAAAAAAAQAgAAAA&#10;KQEAAGRycy9lMm9Eb2MueG1sUEsFBgAAAAAGAAYAWQEAAKAFAAAAAA==&#10;" path="m0,78828l82709,78828,108267,0,133825,78828,216534,78828,149621,127546,175180,206374,108267,157655,41354,206374,66913,127546xe">
                <v:path textboxrect="0,0,216535,206375" o:connectlocs="108267,0;0,78828;41354,206374;175180,206374;216534,78828" o:connectangles="247,164,82,82,0"/>
                <v:fill on="t" focussize="0,0"/>
                <v:stroke weight="1.25pt" color="#FF0000" joinstyle="miter"/>
                <v:imagedata o:title=""/>
                <o:lock v:ext="edit" aspectratio="f"/>
                <v:textbox>
                  <w:txbxContent>
                    <w:p w14:paraId="30E06C04"/>
                  </w:txbxContent>
                </v:textbox>
              </v:shape>
            </w:pict>
          </mc:Fallback>
        </mc:AlternateContent>
      </w:r>
      <w:r>
        <w:rPr>
          <w:rFonts w:hint="eastAsia" w:cs="宋体" w:asciiTheme="minorHAnsi" w:hAnsiTheme="minorHAnsi" w:eastAsiaTheme="minorEastAsia"/>
          <w:b/>
          <w:bCs/>
          <w:color w:val="auto"/>
          <w:kern w:val="2"/>
          <w:sz w:val="28"/>
          <w:szCs w:val="28"/>
          <w:lang w:val="en-US" w:eastAsia="zh-CN" w:bidi="ar-SA"/>
        </w:rPr>
        <w:t>附图1：开州区行政区划图</w:t>
      </w:r>
      <w:r>
        <w:rPr>
          <w:rFonts w:hint="eastAsia" w:ascii="Times New Roman" w:hAnsi="Times New Roman" w:eastAsia="宋体"/>
          <w:sz w:val="24"/>
          <w:szCs w:val="24"/>
        </w:rPr>
        <w:drawing>
          <wp:inline distT="0" distB="0" distL="114300" distR="114300">
            <wp:extent cx="5256530" cy="6506210"/>
            <wp:effectExtent l="0" t="0" r="1270" b="8890"/>
            <wp:docPr id="7" name="图片 1" descr="2019122208385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2019122208385770"/>
                    <pic:cNvPicPr>
                      <a:picLocks noChangeAspect="1"/>
                    </pic:cNvPicPr>
                  </pic:nvPicPr>
                  <pic:blipFill>
                    <a:blip r:embed="rId24"/>
                    <a:stretch>
                      <a:fillRect/>
                    </a:stretch>
                  </pic:blipFill>
                  <pic:spPr>
                    <a:xfrm>
                      <a:off x="0" y="0"/>
                      <a:ext cx="5256530" cy="6506210"/>
                    </a:xfrm>
                    <a:prstGeom prst="rect">
                      <a:avLst/>
                    </a:prstGeom>
                    <a:noFill/>
                    <a:ln>
                      <a:noFill/>
                    </a:ln>
                  </pic:spPr>
                </pic:pic>
              </a:graphicData>
            </a:graphic>
          </wp:inline>
        </w:drawing>
      </w:r>
      <w:bookmarkEnd w:id="174"/>
    </w:p>
    <w:p w14:paraId="11E6F7B7">
      <w:pPr>
        <w:pStyle w:val="4"/>
        <w:spacing w:before="156" w:beforeLines="50" w:after="156" w:afterLines="50" w:line="360" w:lineRule="auto"/>
        <w:jc w:val="left"/>
        <w:rPr>
          <w:rFonts w:hint="eastAsia" w:ascii="Times New Roman" w:hAnsi="Times New Roman" w:eastAsia="宋体"/>
          <w:sz w:val="24"/>
          <w:szCs w:val="24"/>
        </w:rPr>
        <w:sectPr>
          <w:pgSz w:w="11906" w:h="16838"/>
          <w:pgMar w:top="1440" w:right="1803" w:bottom="1440" w:left="1803" w:header="851" w:footer="992" w:gutter="0"/>
          <w:pgNumType w:fmt="decimal"/>
          <w:cols w:space="720" w:num="1"/>
          <w:docGrid w:type="lines" w:linePitch="312" w:charSpace="0"/>
        </w:sectPr>
      </w:pPr>
      <w:bookmarkStart w:id="175" w:name="_Toc6122"/>
      <w:r>
        <w:rPr>
          <w:rFonts w:hint="eastAsia" w:cs="宋体" w:asciiTheme="minorHAnsi" w:hAnsiTheme="minorHAnsi" w:eastAsiaTheme="minorEastAsia"/>
          <w:b/>
          <w:bCs/>
          <w:color w:val="auto"/>
          <w:kern w:val="2"/>
          <w:sz w:val="28"/>
          <w:szCs w:val="28"/>
          <w:lang w:val="en-US" w:eastAsia="zh-CN" w:bidi="ar-SA"/>
        </w:rPr>
        <w:t>附图2：开州区水系图</w:t>
      </w:r>
      <w:r>
        <w:rPr>
          <w:rFonts w:hint="eastAsia" w:ascii="Times New Roman" w:hAnsi="Times New Roman" w:eastAsia="宋体"/>
          <w:sz w:val="24"/>
          <w:szCs w:val="24"/>
        </w:rPr>
        <w:drawing>
          <wp:inline distT="0" distB="0" distL="114300" distR="114300">
            <wp:extent cx="5256530" cy="6506210"/>
            <wp:effectExtent l="0" t="0" r="1270" b="8890"/>
            <wp:docPr id="13" name="图片 2" descr="2019122208393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descr="2019122208393394"/>
                    <pic:cNvPicPr>
                      <a:picLocks noChangeAspect="1"/>
                    </pic:cNvPicPr>
                  </pic:nvPicPr>
                  <pic:blipFill>
                    <a:blip r:embed="rId25"/>
                    <a:stretch>
                      <a:fillRect/>
                    </a:stretch>
                  </pic:blipFill>
                  <pic:spPr>
                    <a:xfrm>
                      <a:off x="0" y="0"/>
                      <a:ext cx="5256530" cy="6506210"/>
                    </a:xfrm>
                    <a:prstGeom prst="rect">
                      <a:avLst/>
                    </a:prstGeom>
                    <a:noFill/>
                    <a:ln>
                      <a:noFill/>
                    </a:ln>
                  </pic:spPr>
                </pic:pic>
              </a:graphicData>
            </a:graphic>
          </wp:inline>
        </w:drawing>
      </w:r>
      <w:bookmarkEnd w:id="175"/>
    </w:p>
    <w:p w14:paraId="25A2BAAD">
      <w:pPr>
        <w:keepNext w:val="0"/>
        <w:keepLines w:val="0"/>
        <w:pageBreakBefore w:val="0"/>
        <w:widowControl w:val="0"/>
        <w:kinsoku/>
        <w:wordWrap/>
        <w:overflowPunct/>
        <w:topLinePunct w:val="0"/>
        <w:autoSpaceDE w:val="0"/>
        <w:autoSpaceDN w:val="0"/>
        <w:bidi w:val="0"/>
        <w:adjustRightInd/>
        <w:snapToGrid/>
        <w:spacing w:line="360" w:lineRule="auto"/>
        <w:textAlignment w:val="auto"/>
        <w:outlineLvl w:val="1"/>
        <w:rPr>
          <w:rFonts w:hint="eastAsia" w:cs="宋体"/>
          <w:b/>
          <w:bCs/>
          <w:color w:val="auto"/>
          <w:sz w:val="28"/>
          <w:szCs w:val="28"/>
          <w:lang w:val="en-US" w:eastAsia="zh-CN"/>
        </w:rPr>
      </w:pPr>
      <w:bookmarkStart w:id="176" w:name="_Toc11769"/>
      <w:r>
        <w:rPr>
          <w:rFonts w:hint="eastAsia" w:cs="宋体"/>
          <w:b/>
          <w:bCs/>
          <w:color w:val="auto"/>
          <w:sz w:val="28"/>
          <w:szCs w:val="28"/>
          <w:lang w:val="en-US" w:eastAsia="zh-CN"/>
        </w:rPr>
        <w:t>附图3：开州区五通乡老林沟水源地地理位置图</w:t>
      </w:r>
      <w:bookmarkEnd w:id="176"/>
    </w:p>
    <w:p w14:paraId="04B7AF7E">
      <w:pPr>
        <w:rPr>
          <w:rFonts w:hint="eastAsia"/>
        </w:rPr>
        <w:sectPr>
          <w:pgSz w:w="11906" w:h="16838"/>
          <w:pgMar w:top="1440" w:right="1803" w:bottom="1440" w:left="1803" w:header="851" w:footer="992" w:gutter="0"/>
          <w:pgNumType w:fmt="decimal"/>
          <w:cols w:space="720" w:num="1"/>
          <w:docGrid w:type="lines" w:linePitch="319" w:charSpace="0"/>
        </w:sectPr>
      </w:pPr>
      <w:r>
        <w:drawing>
          <wp:inline distT="0" distB="0" distL="114300" distR="114300">
            <wp:extent cx="5429885" cy="3314700"/>
            <wp:effectExtent l="0" t="0" r="18415" b="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26"/>
                    <a:stretch>
                      <a:fillRect/>
                    </a:stretch>
                  </pic:blipFill>
                  <pic:spPr>
                    <a:xfrm>
                      <a:off x="0" y="0"/>
                      <a:ext cx="5429885" cy="3314700"/>
                    </a:xfrm>
                    <a:prstGeom prst="rect">
                      <a:avLst/>
                    </a:prstGeom>
                    <a:noFill/>
                    <a:ln>
                      <a:noFill/>
                    </a:ln>
                  </pic:spPr>
                </pic:pic>
              </a:graphicData>
            </a:graphic>
          </wp:inline>
        </w:drawing>
      </w:r>
    </w:p>
    <w:p w14:paraId="258565D7">
      <w:pPr>
        <w:keepNext w:val="0"/>
        <w:keepLines w:val="0"/>
        <w:pageBreakBefore w:val="0"/>
        <w:widowControl w:val="0"/>
        <w:kinsoku/>
        <w:wordWrap/>
        <w:overflowPunct/>
        <w:topLinePunct w:val="0"/>
        <w:autoSpaceDE w:val="0"/>
        <w:autoSpaceDN w:val="0"/>
        <w:bidi w:val="0"/>
        <w:adjustRightInd/>
        <w:snapToGrid/>
        <w:spacing w:line="360" w:lineRule="auto"/>
        <w:textAlignment w:val="auto"/>
        <w:outlineLvl w:val="1"/>
        <w:rPr>
          <w:rFonts w:hint="eastAsia" w:cs="宋体"/>
          <w:b/>
          <w:bCs/>
          <w:color w:val="auto"/>
          <w:sz w:val="28"/>
          <w:szCs w:val="28"/>
          <w:lang w:val="en-US" w:eastAsia="zh-CN"/>
        </w:rPr>
      </w:pPr>
      <w:bookmarkStart w:id="177" w:name="_Toc8343"/>
      <w:r>
        <w:rPr>
          <w:rFonts w:hint="eastAsia" w:cs="宋体"/>
          <w:b/>
          <w:bCs/>
          <w:color w:val="auto"/>
          <w:sz w:val="28"/>
          <w:szCs w:val="28"/>
          <w:lang w:val="en-US" w:eastAsia="zh-CN"/>
        </w:rPr>
        <w:t>附图4：饮用水水源地及移动风险源分布图</w:t>
      </w:r>
    </w:p>
    <w:p w14:paraId="5FDF3145">
      <w:pPr>
        <w:pStyle w:val="4"/>
        <w:spacing w:before="156" w:beforeLines="50" w:after="156" w:afterLines="50" w:line="360" w:lineRule="auto"/>
        <w:jc w:val="left"/>
        <w:rPr>
          <w:rFonts w:hint="eastAsia" w:ascii="Times New Roman" w:hAnsi="Times New Roman" w:eastAsia="宋体"/>
          <w:sz w:val="21"/>
          <w:szCs w:val="21"/>
          <w:lang w:eastAsia="zh-CN"/>
        </w:rPr>
      </w:pPr>
    </w:p>
    <w:bookmarkEnd w:id="177"/>
    <w:p w14:paraId="5A179762">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both"/>
        <w:textAlignment w:val="auto"/>
        <w:outlineLvl w:val="2"/>
        <w:rPr>
          <w:rFonts w:hint="default" w:ascii="宋体" w:hAnsi="宋体" w:eastAsia="宋体" w:cs="宋体"/>
          <w:color w:val="auto"/>
          <w:kern w:val="2"/>
          <w:sz w:val="28"/>
          <w:szCs w:val="28"/>
          <w:lang w:val="en-US" w:eastAsia="zh-CN" w:bidi="ar-SA"/>
        </w:rPr>
      </w:pPr>
      <w:r>
        <w:rPr>
          <w:rFonts w:hint="default" w:ascii="Times New Roman" w:hAnsi="Times New Roman" w:cs="Times New Roman"/>
          <w:color w:val="000000"/>
        </w:rPr>
        <w:drawing>
          <wp:inline distT="0" distB="0" distL="114300" distR="114300">
            <wp:extent cx="5426075" cy="4436745"/>
            <wp:effectExtent l="0" t="0" r="3175" b="1905"/>
            <wp:docPr id="1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
                    <pic:cNvPicPr>
                      <a:picLocks noChangeAspect="1"/>
                    </pic:cNvPicPr>
                  </pic:nvPicPr>
                  <pic:blipFill>
                    <a:blip r:embed="rId27"/>
                    <a:stretch>
                      <a:fillRect/>
                    </a:stretch>
                  </pic:blipFill>
                  <pic:spPr>
                    <a:xfrm>
                      <a:off x="0" y="0"/>
                      <a:ext cx="5426075" cy="4436745"/>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0022334-22A1-437A-B710-105802C64C8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7C42C87C-6A76-4F3D-B337-3F9AC4AD6406}"/>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方正仿宋_GBK">
    <w:panose1 w:val="02000000000000000000"/>
    <w:charset w:val="86"/>
    <w:family w:val="script"/>
    <w:pitch w:val="default"/>
    <w:sig w:usb0="A00002BF" w:usb1="38CF7CFA" w:usb2="00082016" w:usb3="00000000" w:csb0="00040001" w:csb1="00000000"/>
    <w:embedRegular r:id="rId3" w:fontKey="{7C5EE8FA-2FB6-48E9-96B3-9D5C46A16DB1}"/>
  </w:font>
  <w:font w:name="仿宋_GB2312">
    <w:altName w:val="仿宋"/>
    <w:panose1 w:val="02010609030101010101"/>
    <w:charset w:val="86"/>
    <w:family w:val="modern"/>
    <w:pitch w:val="default"/>
    <w:sig w:usb0="00000000" w:usb1="00000000" w:usb2="00000000" w:usb3="00000000" w:csb0="00040000" w:csb1="00000000"/>
    <w:embedRegular r:id="rId4" w:fontKey="{17D0E64C-03C9-4F32-B932-A0588B06A0E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DB86A">
    <w:pPr>
      <w:pStyle w:val="10"/>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DDE6A">
    <w:pPr>
      <w:pStyle w:val="10"/>
      <w:framePr w:wrap="around" w:vAnchor="text" w:hAnchor="margin" w:xAlign="right" w:y="1"/>
      <w:rPr>
        <w:rStyle w:val="20"/>
        <w:rFonts w:hint="eastAsia"/>
      </w:rPr>
    </w:pPr>
    <w:r>
      <w:fldChar w:fldCharType="begin"/>
    </w:r>
    <w:r>
      <w:rPr>
        <w:rStyle w:val="20"/>
      </w:rPr>
      <w:instrText xml:space="preserve">PAGE  </w:instrText>
    </w:r>
    <w:r>
      <w:fldChar w:fldCharType="end"/>
    </w:r>
  </w:p>
  <w:p w14:paraId="37758493">
    <w:pPr>
      <w:pStyle w:val="10"/>
      <w:ind w:right="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7729A">
    <w:pPr>
      <w:pStyle w:val="10"/>
      <w:jc w:val="center"/>
      <w:rPr>
        <w:rFonts w:hint="eastAsia"/>
      </w:rPr>
    </w:pPr>
    <w:r>
      <w:fldChar w:fldCharType="begin"/>
    </w:r>
    <w:r>
      <w:instrText xml:space="preserve"> PAGE   \* MERGEFORMAT </w:instrText>
    </w:r>
    <w:r>
      <w:fldChar w:fldCharType="separate"/>
    </w:r>
    <w:r>
      <w:rPr>
        <w:rFonts w:hint="eastAsia"/>
        <w:lang w:val="zh-CN"/>
      </w:rPr>
      <w:t>52</w:t>
    </w:r>
    <w:r>
      <w:rPr>
        <w:rFonts w:hint="eastAsia"/>
        <w:lang w:val="zh-CN"/>
      </w:rPr>
      <w:fldChar w:fldCharType="end"/>
    </w:r>
  </w:p>
  <w:p w14:paraId="21C5CEBF">
    <w:pPr>
      <w:pStyle w:val="1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9143D">
    <w:pPr>
      <w:pStyle w:val="10"/>
      <w:wordWrap w:val="0"/>
      <w:jc w:val="right"/>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7E6BCC0">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IX</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17E6BCC0">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IX</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F4D7FB">
    <w:pPr>
      <w:pStyle w:val="10"/>
      <w:ind w:firstLine="360"/>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EE437A">
                          <w:pPr>
                            <w:pStyle w:val="10"/>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6EEE437A">
                    <w:pPr>
                      <w:pStyle w:val="10"/>
                    </w:pPr>
                    <w:r>
                      <w:fldChar w:fldCharType="begin"/>
                    </w:r>
                    <w:r>
                      <w:instrText xml:space="preserve"> PAGE  \* MERGEFORMAT </w:instrText>
                    </w:r>
                    <w:r>
                      <w:fldChar w:fldCharType="separate"/>
                    </w:r>
                    <w:r>
                      <w:t>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1DB3F9">
    <w:pPr>
      <w:pStyle w:val="11"/>
      <w:pBdr>
        <w:bottom w:val="none" w:color="auto" w:sz="0" w:space="0"/>
      </w:pBd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160FD3"/>
    <w:rsid w:val="0B9F4AD2"/>
    <w:rsid w:val="0E1713C3"/>
    <w:rsid w:val="13FA11BC"/>
    <w:rsid w:val="23E0000F"/>
    <w:rsid w:val="29591071"/>
    <w:rsid w:val="2C373707"/>
    <w:rsid w:val="3E160FD3"/>
    <w:rsid w:val="42D13982"/>
    <w:rsid w:val="43AD04C3"/>
    <w:rsid w:val="598277E7"/>
    <w:rsid w:val="77670561"/>
    <w:rsid w:val="7B503DBB"/>
    <w:rsid w:val="7E2925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1"/>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120" w:line="412" w:lineRule="auto"/>
      <w:ind w:firstLine="200" w:firstLineChars="200"/>
      <w:outlineLvl w:val="1"/>
    </w:pPr>
    <w:rPr>
      <w:rFonts w:ascii="Cambria" w:hAnsi="Cambria" w:eastAsia="宋体" w:cs="宋体"/>
      <w:b/>
      <w:bCs/>
      <w:szCs w:val="32"/>
    </w:rPr>
  </w:style>
  <w:style w:type="paragraph" w:styleId="5">
    <w:name w:val="heading 3"/>
    <w:basedOn w:val="1"/>
    <w:next w:val="1"/>
    <w:qFormat/>
    <w:uiPriority w:val="0"/>
    <w:pPr>
      <w:keepNext/>
      <w:keepLines/>
      <w:spacing w:before="260" w:after="260" w:line="416" w:lineRule="auto"/>
      <w:outlineLvl w:val="2"/>
    </w:pPr>
    <w:rPr>
      <w:b/>
      <w:bCs/>
      <w:sz w:val="32"/>
      <w:szCs w:val="32"/>
    </w:rPr>
  </w:style>
  <w:style w:type="paragraph" w:styleId="2">
    <w:name w:val="heading 4"/>
    <w:basedOn w:val="1"/>
    <w:next w:val="1"/>
    <w:qFormat/>
    <w:uiPriority w:val="9"/>
    <w:pPr>
      <w:keepNext/>
      <w:keepLines/>
      <w:spacing w:before="280" w:after="290" w:line="376" w:lineRule="auto"/>
      <w:outlineLvl w:val="3"/>
    </w:pPr>
    <w:rPr>
      <w:rFonts w:ascii="Arial" w:hAnsi="Arial" w:eastAsia="黑体"/>
      <w:sz w:val="28"/>
      <w:szCs w:val="28"/>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6">
    <w:name w:val="List 3"/>
    <w:basedOn w:val="1"/>
    <w:next w:val="1"/>
    <w:qFormat/>
    <w:uiPriority w:val="0"/>
    <w:pPr>
      <w:spacing w:line="288" w:lineRule="auto"/>
      <w:ind w:left="1260" w:hanging="420"/>
    </w:pPr>
    <w:rPr>
      <w:rFonts w:ascii="Calibri" w:hAnsi="Calibri" w:eastAsia="仿宋" w:cs="宋体"/>
    </w:rPr>
  </w:style>
  <w:style w:type="paragraph" w:styleId="7">
    <w:name w:val="Normal Indent"/>
    <w:basedOn w:val="1"/>
    <w:next w:val="1"/>
    <w:qFormat/>
    <w:uiPriority w:val="0"/>
    <w:pPr>
      <w:spacing w:line="480" w:lineRule="exact"/>
      <w:ind w:firstLine="420"/>
    </w:pPr>
    <w:rPr>
      <w:rFonts w:eastAsia="Times New Roman"/>
      <w:sz w:val="28"/>
    </w:rPr>
  </w:style>
  <w:style w:type="paragraph" w:styleId="8">
    <w:name w:val="Body Text"/>
    <w:basedOn w:val="1"/>
    <w:qFormat/>
    <w:uiPriority w:val="1"/>
    <w:pPr>
      <w:ind w:left="151"/>
    </w:pPr>
    <w:rPr>
      <w:rFonts w:ascii="宋体" w:hAnsi="宋体" w:eastAsia="宋体" w:cs="宋体"/>
      <w:sz w:val="32"/>
      <w:szCs w:val="32"/>
      <w:lang w:val="zh-CN" w:eastAsia="zh-CN" w:bidi="zh-CN"/>
    </w:rPr>
  </w:style>
  <w:style w:type="paragraph" w:styleId="9">
    <w:name w:val="Body Text Indent"/>
    <w:basedOn w:val="1"/>
    <w:qFormat/>
    <w:uiPriority w:val="0"/>
    <w:pPr>
      <w:ind w:firstLine="640" w:firstLineChars="200"/>
    </w:pPr>
    <w:rPr>
      <w:rFonts w:eastAsia="方正仿宋_GBK"/>
      <w:kern w:val="0"/>
      <w:sz w:val="32"/>
    </w:r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0"/>
  </w:style>
  <w:style w:type="paragraph" w:styleId="13">
    <w:name w:val="Subtitle"/>
    <w:basedOn w:val="1"/>
    <w:next w:val="1"/>
    <w:qFormat/>
    <w:uiPriority w:val="11"/>
    <w:pPr>
      <w:ind w:firstLine="0" w:firstLineChars="0"/>
      <w:jc w:val="center"/>
    </w:pPr>
    <w:rPr>
      <w:rFonts w:eastAsia="宋体" w:cs="Times New Roman"/>
      <w:bCs/>
      <w:kern w:val="28"/>
      <w:sz w:val="21"/>
      <w:szCs w:val="32"/>
    </w:rPr>
  </w:style>
  <w:style w:type="paragraph" w:styleId="14">
    <w:name w:val="toc 2"/>
    <w:basedOn w:val="1"/>
    <w:next w:val="1"/>
    <w:qFormat/>
    <w:uiPriority w:val="0"/>
    <w:pPr>
      <w:ind w:left="420" w:leftChars="200"/>
    </w:pPr>
  </w:style>
  <w:style w:type="paragraph" w:styleId="15">
    <w:name w:val="Normal (Web)"/>
    <w:basedOn w:val="1"/>
    <w:qFormat/>
    <w:uiPriority w:val="0"/>
    <w:pPr>
      <w:widowControl/>
      <w:jc w:val="left"/>
    </w:pPr>
    <w:rPr>
      <w:rFonts w:ascii="宋体" w:hAnsi="宋体" w:cs="宋体"/>
      <w:color w:val="000000"/>
      <w:kern w:val="0"/>
      <w:sz w:val="24"/>
    </w:rPr>
  </w:style>
  <w:style w:type="table" w:styleId="17">
    <w:name w:val="Table Grid"/>
    <w:basedOn w:val="1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qFormat/>
    <w:uiPriority w:val="22"/>
    <w:rPr>
      <w:b/>
    </w:rPr>
  </w:style>
  <w:style w:type="character" w:styleId="20">
    <w:name w:val="page number"/>
    <w:basedOn w:val="18"/>
    <w:qFormat/>
    <w:uiPriority w:val="0"/>
  </w:style>
  <w:style w:type="paragraph" w:customStyle="1" w:styleId="21">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22">
    <w:name w:val="List Paragraph"/>
    <w:basedOn w:val="1"/>
    <w:qFormat/>
    <w:uiPriority w:val="0"/>
    <w:pPr>
      <w:ind w:firstLine="420" w:firstLineChars="200"/>
    </w:pPr>
  </w:style>
  <w:style w:type="paragraph" w:customStyle="1" w:styleId="23">
    <w:name w:val="表格"/>
    <w:basedOn w:val="7"/>
    <w:next w:val="1"/>
    <w:qFormat/>
    <w:uiPriority w:val="0"/>
    <w:pPr>
      <w:adjustRightInd w:val="0"/>
      <w:jc w:val="center"/>
    </w:pPr>
    <w:rPr>
      <w:spacing w:val="10"/>
      <w:kern w:val="0"/>
      <w:sz w:val="20"/>
      <w:szCs w:val="20"/>
    </w:rPr>
  </w:style>
  <w:style w:type="paragraph" w:customStyle="1" w:styleId="24">
    <w:name w:val="大纲正文"/>
    <w:basedOn w:val="1"/>
    <w:qFormat/>
    <w:uiPriority w:val="0"/>
    <w:pPr>
      <w:adjustRightInd w:val="0"/>
      <w:snapToGrid w:val="0"/>
      <w:spacing w:line="360" w:lineRule="auto"/>
      <w:ind w:firstLine="200" w:firstLineChars="200"/>
    </w:pPr>
    <w:rPr>
      <w:rFonts w:eastAsia="仿宋_GB2312"/>
      <w:kern w:val="0"/>
      <w:sz w:val="28"/>
      <w:szCs w:val="20"/>
    </w:rPr>
  </w:style>
  <w:style w:type="paragraph" w:customStyle="1" w:styleId="25">
    <w:name w:val="L表内容"/>
    <w:basedOn w:val="1"/>
    <w:qFormat/>
    <w:uiPriority w:val="0"/>
    <w:pPr>
      <w:spacing w:line="0" w:lineRule="atLeast"/>
      <w:jc w:val="center"/>
    </w:pPr>
    <w:rPr>
      <w:szCs w:val="22"/>
    </w:rPr>
  </w:style>
  <w:style w:type="paragraph" w:customStyle="1" w:styleId="26">
    <w:name w:val="_Style 2"/>
    <w:basedOn w:val="1"/>
    <w:qFormat/>
    <w:uiPriority w:val="0"/>
    <w:pPr>
      <w:spacing w:line="360" w:lineRule="auto"/>
      <w:ind w:firstLine="420" w:firstLineChars="200"/>
    </w:pPr>
    <w:rPr>
      <w:szCs w:val="21"/>
    </w:rPr>
  </w:style>
  <w:style w:type="paragraph" w:customStyle="1" w:styleId="27">
    <w:name w:val="Table Paragraph"/>
    <w:basedOn w:val="1"/>
    <w:qFormat/>
    <w:uiPriority w:val="1"/>
    <w:pPr>
      <w:autoSpaceDE w:val="0"/>
      <w:autoSpaceDN w:val="0"/>
      <w:jc w:val="left"/>
    </w:pPr>
    <w:rPr>
      <w:rFonts w:ascii="方正仿宋_GBK" w:hAnsi="方正仿宋_GBK" w:eastAsia="方正仿宋_GBK" w:cs="方正仿宋_GBK"/>
      <w:kern w:val="0"/>
      <w:sz w:val="22"/>
      <w:szCs w:val="22"/>
      <w:lang w:eastAsia="en-US"/>
    </w:rPr>
  </w:style>
  <w:style w:type="paragraph" w:customStyle="1" w:styleId="28">
    <w:name w:val="表格 123"/>
    <w:basedOn w:val="1"/>
    <w:qFormat/>
    <w:uiPriority w:val="0"/>
    <w:pPr>
      <w:adjustRightInd w:val="0"/>
      <w:snapToGrid w:val="0"/>
      <w:spacing w:line="320" w:lineRule="exact"/>
      <w:ind w:firstLine="0" w:firstLineChars="0"/>
      <w:jc w:val="center"/>
    </w:pPr>
    <w:rPr>
      <w:sz w:val="2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jpeg"/><Relationship Id="rId24" Type="http://schemas.openxmlformats.org/officeDocument/2006/relationships/image" Target="media/image15.jpeg"/><Relationship Id="rId23" Type="http://schemas.openxmlformats.org/officeDocument/2006/relationships/image" Target="media/image14.png"/><Relationship Id="rId22" Type="http://schemas.openxmlformats.org/officeDocument/2006/relationships/image" Target="media/image13.jpe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jpeg"/><Relationship Id="rId17" Type="http://schemas.openxmlformats.org/officeDocument/2006/relationships/image" Target="media/image8.jpeg"/><Relationship Id="rId16" Type="http://schemas.openxmlformats.org/officeDocument/2006/relationships/image" Target="media/image7.jpe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extobjs>
    <extobj name="F360BE8B-6686-4F3D-AEAF-501FE73E4058-1">
      <extobjdata type="F360BE8B-6686-4F3D-AEAF-501FE73E4058" data="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"/>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59</Pages>
  <Words>18218</Words>
  <Characters>19161</Characters>
  <Lines>0</Lines>
  <Paragraphs>0</Paragraphs>
  <TotalTime>0</TotalTime>
  <ScaleCrop>false</ScaleCrop>
  <LinksUpToDate>false</LinksUpToDate>
  <CharactersWithSpaces>19493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2025-10-20T06:57:00Z</dcterms:created>
  <dc:creator>153****3635</dc:creator>
  <cp:lastModifiedBy>153****3635</cp:lastModifiedBy>
  <dcterms:modified xsi:type="dcterms:W3CDTF">2025-11-11T03:06:50Z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576BDF1A19EF4F059502B3EAC9001F89_11</vt:lpwstr>
  </property>
  <property fmtid="{D5CDD505-2E9C-101B-9397-08002B2CF9AE}" pid="4" name="KSOTemplateDocerSaveRecord">
    <vt:lpwstr>eyJoZGlkIjoiNDJlZGQ3NmFiOTcyMGU4MmZlMjk5ZTNkYzc4Zjc3N2QiLCJ1c2VySWQiOiIxNDM5MzAxNTU3In0=</vt:lpwstr>
  </property>
</Properties>
</file>